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TM Owner Manual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42176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768548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91517" w:name="ctxt"/>
    <w:bookmarkEnd w:id="3691517"/>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6251"/>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16251"/>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16251"/>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16251"/>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16251"/>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1625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reserves the right to make, at any time, changes in the engines for technical or commercial reasons.</w:t>
            </w:r>
          </w:p>
          <w:p>
            <w:pPr>
              <w:numPr>
                <w:ilvl w:val="0"/>
                <w:numId w:val="16251"/>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274C"/>
                <w:position w:val="-2"/>
                <w:sz w:val="20"/>
                <w:szCs w:val="20"/>
                <w:u w:val="none"/>
              </w:rPr>
              <w:t xml:space="preserve">KOHLER</w:t>
            </w:r>
            <w:r>
              <w:rPr>
                <w:color w:val="00274C"/>
                <w:position w:val="-2"/>
                <w:sz w:val="20"/>
                <w:szCs w:val="20"/>
                <w:u w:val="none"/>
              </w:rPr>
              <w:t xml:space="preserve"> to intervene on the marketed production up to that time and not to consider this manual as inappropriate.</w:t>
            </w:r>
          </w:p>
          <w:p>
            <w:pPr>
              <w:numPr>
                <w:ilvl w:val="0"/>
                <w:numId w:val="16251"/>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274C"/>
                <w:position w:val="-2"/>
                <w:sz w:val="20"/>
                <w:szCs w:val="20"/>
                <w:u w:val="none"/>
              </w:rPr>
              <w:t xml:space="preserve">KOHLER</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16251"/>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274C"/>
                <w:position w:val="-2"/>
                <w:sz w:val="20"/>
                <w:szCs w:val="20"/>
                <w:u w:val="none"/>
              </w:rPr>
              <w:t xml:space="preserve">KOHLER</w:t>
            </w:r>
            <w:r>
              <w:rPr>
                <w:color w:val="00274C"/>
                <w:position w:val="-2"/>
                <w:sz w:val="20"/>
                <w:szCs w:val="20"/>
                <w:u w:val="none"/>
              </w:rPr>
              <w:t xml:space="preserve"> . As such, no reproduction or replication in whole or part is allowed without the express written permission of </w:t>
            </w:r>
            <w:r>
              <w:rPr>
                <w:b/>
                <w:bCs/>
                <w:color w:val="00274C"/>
                <w:position w:val="-2"/>
                <w:sz w:val="20"/>
                <w:szCs w:val="20"/>
                <w:u w:val="none"/>
              </w:rPr>
              <w:t xml:space="preserve">KOHLER</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r>
              <w:rPr>
                <w:b/>
                <w:bCs/>
                <w:color w:val="00274C"/>
                <w:position w:val="-2"/>
                <w:sz w:val="20"/>
                <w:szCs w:val="20"/>
                <w:u w:val="none"/>
              </w:rPr>
              <w:br/>
              <w:t xml:space="preserve">Fig. 5.5</w:t>
            </w:r>
            <w:r>
              <w:rPr>
                <w:color w:val="00274C"/>
                <w:position w:val="-2"/>
                <w:sz w:val="20"/>
                <w:szCs w:val="20"/>
                <w:u w:val="none"/>
              </w:rPr>
              <w:t xml:space="preserve"> - chapter 5 figure 5.</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6251"/>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274C"/>
                <w:position w:val="-2"/>
                <w:sz w:val="20"/>
                <w:szCs w:val="20"/>
                <w:u w:val="none"/>
              </w:rPr>
              <w:t xml:space="preserve">Kohler Co.</w:t>
            </w:r>
            <w:r>
              <w:rPr>
                <w:color w:val="00274C"/>
                <w:position w:val="-2"/>
                <w:sz w:val="20"/>
                <w:szCs w:val="20"/>
                <w:u w:val="none"/>
              </w:rPr>
              <w:t xml:space="preserve"> service centers can be found on websites:</w:t>
            </w:r>
            <w:hyperlink r:id="rId1502675afb8925cad" w:history="1">
              <w:r>
                <w:rPr>
                  <w:rStyle w:val="DefaultParagraphFontPHPDOCX"/>
                  <w:b/>
                  <w:bCs/>
                  <w:color w:val="0000FF"/>
                  <w:position w:val="-2"/>
                  <w:sz w:val="20"/>
                  <w:szCs w:val="20"/>
                  <w:u w:val="single" w:color=""/>
                </w:rPr>
                <w:br/>
                <w:t xml:space="preserve">www.kohlerengines.com</w:t>
              </w:r>
            </w:hyperlink>
            <w:r>
              <w:rPr>
                <w:color w:val="00274C"/>
                <w:position w:val="-2"/>
                <w:sz w:val="20"/>
                <w:szCs w:val="20"/>
                <w:u w:val="none"/>
              </w:rPr>
              <w:t xml:space="preserve"> &amp; </w:t>
            </w:r>
            <w:hyperlink r:id="rId6336675afb8925efa" w:history="1">
              <w:r>
                <w:rPr>
                  <w:rStyle w:val="DefaultParagraphFontPHPDOCX"/>
                  <w:b/>
                  <w:bCs/>
                  <w:color w:val="0000FF"/>
                  <w:position w:val="-2"/>
                  <w:sz w:val="20"/>
                  <w:szCs w:val="20"/>
                  <w:u w:val="none"/>
                </w:rPr>
                <w:t xml:space="preserve">dealers.kohlerpower.it</w:t>
              </w:r>
            </w:hyperlink>
            <w:r>
              <w:rPr>
                <w:color w:val="00274C"/>
                <w:position w:val="-2"/>
                <w:sz w:val="20"/>
                <w:szCs w:val="20"/>
                <w:u w:val="none"/>
              </w:rPr>
              <w:t xml:space="preserve"> .</w:t>
            </w:r>
          </w:p>
          <w:p>
            <w:pPr>
              <w:numPr>
                <w:ilvl w:val="0"/>
                <w:numId w:val="16251"/>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Kohler Co.</w:t>
            </w:r>
            <w:r>
              <w:rPr>
                <w:color w:val="00274C"/>
                <w:position w:val="-2"/>
                <w:sz w:val="20"/>
                <w:szCs w:val="20"/>
                <w:u w:val="none"/>
              </w:rPr>
              <w:t xml:space="preserve"> authorized service location, you should contact </w:t>
            </w:r>
            <w:r>
              <w:rPr>
                <w:b/>
                <w:bCs/>
                <w:color w:val="00274C"/>
                <w:position w:val="-2"/>
                <w:sz w:val="20"/>
                <w:szCs w:val="20"/>
                <w:u w:val="none"/>
              </w:rPr>
              <w:t xml:space="preserve">Kohler Co.</w:t>
            </w:r>
            <w:r>
              <w:rPr>
                <w:color w:val="00274C"/>
                <w:position w:val="-2"/>
                <w:sz w:val="20"/>
                <w:szCs w:val="20"/>
                <w:u w:val="none"/>
              </w:rPr>
              <w:t xml:space="preserve"> at 1-800-544-2444 or access our website at </w:t>
            </w:r>
            <w:hyperlink r:id="rId4434675afb89267ad" w:history="1">
              <w:r>
                <w:rPr>
                  <w:rStyle w:val="DefaultParagraphFontPHPDOCX"/>
                  <w:b/>
                  <w:bCs/>
                  <w:color w:val="0000FF"/>
                  <w:position w:val="-2"/>
                  <w:sz w:val="20"/>
                  <w:szCs w:val="20"/>
                  <w:u w:val="single" w:color=""/>
                </w:rPr>
                <w:t xml:space="preserve">www.kohlerengines.com</w:t>
              </w:r>
            </w:hyperlink>
            <w:r>
              <w:rPr>
                <w:color w:val="00274C"/>
                <w:position w:val="-2"/>
                <w:sz w:val="20"/>
                <w:szCs w:val="20"/>
                <w:u w:val="none"/>
              </w:rPr>
              <w:t xml:space="preserve"> (USA and North American).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508800"/>
            <wp:effectExtent b="0" l="0" r="0" t="0"/>
            <wp:docPr id="95162599" name="name5696675afb8935e93" descr="1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N.jpg"/>
                    <pic:cNvPicPr/>
                  </pic:nvPicPr>
                  <pic:blipFill>
                    <a:blip r:embed="rId5158675afb8935e8e" cstate="print"/>
                    <a:stretch>
                      <a:fillRect/>
                    </a:stretch>
                  </pic:blipFill>
                  <pic:spPr>
                    <a:xfrm>
                      <a:off x="0" y="0"/>
                      <a:ext cx="4752000" cy="65088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p>
      <w:pPr>
        <w:widowControl w:val="on"/>
        <w:pBdr/>
        <w:spacing w:before="0" w:after="0" w:line="262" w:lineRule="auto"/>
        <w:ind w:left="0" w:right="0"/>
        <w:jc w:val="left"/>
      </w:pPr>
      <w:r>
        <w:rPr>
          <w:color w:val="00274C"/>
          <w:sz w:val="20"/>
          <w:szCs w:val="20"/>
          <w:u w:val="none"/>
        </w:rPr>
        <w:t xml:space="preserve">The engine identification name plate is situated in the lower part of the crankcase; it is visible from the intake or exhaust side.</w:t>
      </w:r>
    </w:p>
    <w:p>
      <w:pPr>
        <w:widowControl w:val="on"/>
        <w:pBdr/>
        <w:spacing w:before="225" w:after="225" w:line="262" w:lineRule="auto"/>
        <w:ind w:left="0" w:right="0"/>
        <w:jc w:val="left"/>
      </w:pPr>
      <w:r>
        <w:drawing>
          <wp:inline distT="0" distB="0" distL="0" distR="0">
            <wp:extent cx="4752000" cy="3204000"/>
            <wp:effectExtent b="0" l="0" r="0" t="0"/>
            <wp:docPr id="24771743" name="name8826675afb893ebe3" descr="3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N.jpg"/>
                    <pic:cNvPicPr/>
                  </pic:nvPicPr>
                  <pic:blipFill>
                    <a:blip r:embed="rId9667675afb893ebdf" cstate="print"/>
                    <a:stretch>
                      <a:fillRect/>
                    </a:stretch>
                  </pic:blipFill>
                  <pic:spPr>
                    <a:xfrm>
                      <a:off x="0" y="0"/>
                      <a:ext cx="4752000" cy="3204000"/>
                    </a:xfrm>
                    <a:prstGeom prst="rect">
                      <a:avLst/>
                    </a:prstGeom>
                    <a:ln w="0">
                      <a:noFill/>
                    </a:ln>
                  </pic:spPr>
                </pic:pic>
              </a:graphicData>
            </a:graphic>
          </wp:inline>
        </w:drawing>
      </w:r>
      <w:r>
        <w:rPr>
          <w:b/>
          <w:bCs/>
          <w:color w:val="00274C"/>
          <w:sz w:val="20"/>
          <w:szCs w:val="20"/>
          <w:u w:val="none"/>
        </w:rPr>
        <w:br/>
        <w:br/>
        <w:t xml:space="preserve">Fig 1.1</w:t>
      </w:r>
      <w:r>
        <w:rPr>
          <w:color w:val="00274C"/>
          <w:sz w:val="20"/>
          <w:szCs w:val="20"/>
          <w:u w:val="none"/>
        </w:rPr>
        <w:t xml:space="preserve"> - </w:t>
      </w:r>
      <w:r>
        <w:rPr>
          <w:b/>
          <w:bCs/>
          <w:color w:val="00274C"/>
          <w:sz w:val="20"/>
          <w:szCs w:val="20"/>
          <w:u w:val="none"/>
        </w:rPr>
        <w:t xml:space="preserve">Fig 1.2</w:t>
      </w:r>
    </w:p>
    <w:p>
      <w:pPr>
        <w:widowControl w:val="on"/>
        <w:pBdr/>
        <w:spacing w:before="0" w:after="0" w:line="262" w:lineRule="auto"/>
        <w:ind w:left="0" w:right="0"/>
        <w:jc w:val="left"/>
      </w:pPr>
      <w:r>
        <w:rPr>
          <w:color w:val="00274C"/>
          <w:sz w:val="20"/>
          <w:szCs w:val="20"/>
          <w:u w:val="none"/>
        </w:rPr>
        <w:t xml:space="preserve"> </w:t>
      </w:r>
    </w:p>
    <w:p>
      <w:r>
        <w:drawing>
          <wp:inline distT="0" distB="0" distL="0" distR="0">
            <wp:extent cx="4752000" cy="1807200"/>
            <wp:effectExtent b="0" l="0" r="0" t="0"/>
            <wp:docPr id="50586279" name="name1350675afb894714d" descr="3%28EN%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EN%29.jpg"/>
                    <pic:cNvPicPr/>
                  </pic:nvPicPr>
                  <pic:blipFill>
                    <a:blip r:embed="rId6797675afb8947148" cstate="print"/>
                    <a:stretch>
                      <a:fillRect/>
                    </a:stretch>
                  </pic:blipFill>
                  <pic:spPr>
                    <a:xfrm>
                      <a:off x="0" y="0"/>
                      <a:ext cx="4752000" cy="1807200"/>
                    </a:xfrm>
                    <a:prstGeom prst="rect">
                      <a:avLst/>
                    </a:prstGeom>
                    <a:ln w="0">
                      <a:noFill/>
                    </a:ln>
                  </pic:spPr>
                </pic:pic>
              </a:graphicData>
            </a:graphic>
          </wp:inline>
        </w:drawing>
      </w:r>
      <w:r>
        <w:rPr>
          <w:b/>
          <w:bCs/>
          <w:color w:val="00274C"/>
          <w:sz w:val="20"/>
          <w:szCs w:val="20"/>
          <w:u w:val="none"/>
        </w:rPr>
        <w:br/>
        <w:t xml:space="preserve">Fig 1.3</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252">
    <w:multiLevelType w:val="hybridMultilevel"/>
    <w:lvl w:ilvl="0" w:tplc="31454527">
      <w:start w:val="1"/>
      <w:numFmt w:val="decimal"/>
      <w:lvlText w:val="%1."/>
      <w:lvlJc w:val="left"/>
      <w:pPr>
        <w:ind w:left="720" w:hanging="360"/>
      </w:pPr>
    </w:lvl>
    <w:lvl w:ilvl="1" w:tplc="31454527" w:tentative="1">
      <w:start w:val="1"/>
      <w:numFmt w:val="lowerLetter"/>
      <w:lvlText w:val="%2."/>
      <w:lvlJc w:val="left"/>
      <w:pPr>
        <w:ind w:left="1440" w:hanging="360"/>
      </w:pPr>
    </w:lvl>
    <w:lvl w:ilvl="2" w:tplc="31454527" w:tentative="1">
      <w:start w:val="1"/>
      <w:numFmt w:val="lowerRoman"/>
      <w:lvlText w:val="%3."/>
      <w:lvlJc w:val="right"/>
      <w:pPr>
        <w:ind w:left="2160" w:hanging="180"/>
      </w:pPr>
    </w:lvl>
    <w:lvl w:ilvl="3" w:tplc="31454527" w:tentative="1">
      <w:start w:val="1"/>
      <w:numFmt w:val="decimal"/>
      <w:lvlText w:val="%4."/>
      <w:lvlJc w:val="left"/>
      <w:pPr>
        <w:ind w:left="2880" w:hanging="360"/>
      </w:pPr>
    </w:lvl>
    <w:lvl w:ilvl="4" w:tplc="31454527" w:tentative="1">
      <w:start w:val="1"/>
      <w:numFmt w:val="lowerLetter"/>
      <w:lvlText w:val="%5."/>
      <w:lvlJc w:val="left"/>
      <w:pPr>
        <w:ind w:left="3600" w:hanging="360"/>
      </w:pPr>
    </w:lvl>
    <w:lvl w:ilvl="5" w:tplc="31454527" w:tentative="1">
      <w:start w:val="1"/>
      <w:numFmt w:val="lowerRoman"/>
      <w:lvlText w:val="%6."/>
      <w:lvlJc w:val="right"/>
      <w:pPr>
        <w:ind w:left="4320" w:hanging="180"/>
      </w:pPr>
    </w:lvl>
    <w:lvl w:ilvl="6" w:tplc="31454527" w:tentative="1">
      <w:start w:val="1"/>
      <w:numFmt w:val="decimal"/>
      <w:lvlText w:val="%7."/>
      <w:lvlJc w:val="left"/>
      <w:pPr>
        <w:ind w:left="5040" w:hanging="360"/>
      </w:pPr>
    </w:lvl>
    <w:lvl w:ilvl="7" w:tplc="31454527" w:tentative="1">
      <w:start w:val="1"/>
      <w:numFmt w:val="lowerLetter"/>
      <w:lvlText w:val="%8."/>
      <w:lvlJc w:val="left"/>
      <w:pPr>
        <w:ind w:left="5760" w:hanging="360"/>
      </w:pPr>
    </w:lvl>
    <w:lvl w:ilvl="8" w:tplc="31454527" w:tentative="1">
      <w:start w:val="1"/>
      <w:numFmt w:val="lowerRoman"/>
      <w:lvlText w:val="%9."/>
      <w:lvlJc w:val="right"/>
      <w:pPr>
        <w:ind w:left="6480" w:hanging="180"/>
      </w:pPr>
    </w:lvl>
  </w:abstractNum>
  <w:abstractNum w:abstractNumId="16251">
    <w:multiLevelType w:val="hybridMultilevel"/>
    <w:lvl w:ilvl="0" w:tplc="83650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251">
    <w:abstractNumId w:val="16251"/>
  </w:num>
  <w:num w:numId="16252">
    <w:abstractNumId w:val="162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18674839" Type="http://schemas.openxmlformats.org/officeDocument/2006/relationships/comments" Target="comments.xml"/><Relationship Id="rId781835159" Type="http://schemas.microsoft.com/office/2011/relationships/commentsExtended" Target="commentsExtended.xml"/><Relationship Id="rId87685485" Type="http://schemas.openxmlformats.org/officeDocument/2006/relationships/image" Target="media/imgrId87685485.jpg"/><Relationship Id="rId1502675afb8925cad" Type="http://schemas.openxmlformats.org/officeDocument/2006/relationships/hyperlink" Target="http://www.kohlerengines.com/home.htm" TargetMode="External"/><Relationship Id="rId6336675afb8925efa" Type="http://schemas.openxmlformats.org/officeDocument/2006/relationships/hyperlink" Target="http://dealers.kohlerpower.it/" TargetMode="External"/><Relationship Id="rId4434675afb89267ad" Type="http://schemas.openxmlformats.org/officeDocument/2006/relationships/hyperlink" Target="http://www.kohlerengines.com/home.htm" TargetMode="External"/><Relationship Id="rId5158675afb8935e8e" Type="http://schemas.openxmlformats.org/officeDocument/2006/relationships/image" Target="media/imgrId5158675afb8935e8e.jpg"/><Relationship Id="rId9667675afb893ebdf" Type="http://schemas.openxmlformats.org/officeDocument/2006/relationships/image" Target="media/imgrId9667675afb893ebdf.jpg"/><Relationship Id="rId6797675afb8947148" Type="http://schemas.openxmlformats.org/officeDocument/2006/relationships/image" Target="media/imgrId6797675afb8947148.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7685485" Type="http://schemas.openxmlformats.org/officeDocument/2006/relationships/image" Target="media/imgrId8768548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7685485" Type="http://schemas.openxmlformats.org/officeDocument/2006/relationships/image" Target="media/imgrId8768548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7685485" Type="http://schemas.openxmlformats.org/officeDocument/2006/relationships/image" Target="media/imgrId8768548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7685485" Type="http://schemas.openxmlformats.org/officeDocument/2006/relationships/image" Target="media/imgrId8768548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7685485" Type="http://schemas.openxmlformats.org/officeDocument/2006/relationships/image" Target="media/imgrId8768548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7685485" Type="http://schemas.openxmlformats.org/officeDocument/2006/relationships/image" Target="media/imgrId8768548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