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TM Owner Manual (Rev. 10)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675479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872102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7071044" w:name="ctxt"/>
    <w:bookmarkEnd w:id="27071044"/>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6240"/>
              </w:numPr>
              <w:spacing w:before="0" w:after="0" w:line="262" w:lineRule="auto"/>
              <w:jc w:val="left"/>
              <w:rPr>
                <w:color w:val="00274C"/>
                <w:sz w:val="20"/>
                <w:szCs w:val="20"/>
              </w:rPr>
            </w:pPr>
            <w:r>
              <w:rPr>
                <w:color w:val="00274C"/>
                <w:position w:val="-2"/>
                <w:sz w:val="20"/>
                <w:szCs w:val="20"/>
                <w:u w:val="none"/>
              </w:rPr>
              <w:t xml:space="preserve">This manual contains the instructions needed to carry out proper use and maintenance of the engine, therefore it must always be available, for future reference when required.</w:t>
            </w:r>
          </w:p>
          <w:p>
            <w:pPr>
              <w:numPr>
                <w:ilvl w:val="0"/>
                <w:numId w:val="26240"/>
              </w:numPr>
              <w:spacing w:before="0" w:after="0" w:line="262" w:lineRule="auto"/>
              <w:jc w:val="left"/>
              <w:rPr>
                <w:color w:val="00274C"/>
                <w:sz w:val="20"/>
                <w:szCs w:val="20"/>
              </w:rPr>
            </w:pPr>
            <w:r>
              <w:rPr>
                <w:color w:val="00274C"/>
                <w:position w:val="-2"/>
                <w:sz w:val="20"/>
                <w:szCs w:val="20"/>
                <w:u w:val="none"/>
              </w:rPr>
              <w:t xml:space="preserve">This manual is an integral part of the engine, in the event of transfer or sale, it must be attached to it.</w:t>
            </w:r>
          </w:p>
          <w:p>
            <w:pPr>
              <w:numPr>
                <w:ilvl w:val="0"/>
                <w:numId w:val="26240"/>
              </w:numPr>
              <w:spacing w:before="0" w:after="0" w:line="262" w:lineRule="auto"/>
              <w:jc w:val="left"/>
              <w:rPr>
                <w:color w:val="00274C"/>
                <w:sz w:val="20"/>
                <w:szCs w:val="20"/>
              </w:rPr>
            </w:pPr>
            <w:r>
              <w:rPr>
                <w:color w:val="00274C"/>
                <w:position w:val="-2"/>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26240"/>
              </w:numPr>
              <w:spacing w:before="0" w:after="0" w:line="262" w:lineRule="auto"/>
              <w:jc w:val="left"/>
              <w:rPr>
                <w:color w:val="00274C"/>
                <w:sz w:val="20"/>
                <w:szCs w:val="20"/>
              </w:rPr>
            </w:pPr>
            <w:r>
              <w:rPr>
                <w:color w:val="00274C"/>
                <w:position w:val="-2"/>
                <w:sz w:val="20"/>
                <w:szCs w:val="20"/>
                <w:u w:val="none"/>
              </w:rPr>
              <w:t xml:space="preserve">Information, description and pictures in this manual reflect the state of the art at the time of the marketing of engine.</w:t>
            </w:r>
          </w:p>
          <w:p>
            <w:pPr>
              <w:numPr>
                <w:ilvl w:val="0"/>
                <w:numId w:val="26240"/>
              </w:numPr>
              <w:spacing w:before="0" w:after="0" w:line="262" w:lineRule="auto"/>
              <w:jc w:val="left"/>
              <w:rPr>
                <w:color w:val="00274C"/>
                <w:sz w:val="20"/>
                <w:szCs w:val="20"/>
              </w:rPr>
            </w:pPr>
            <w:r>
              <w:rPr>
                <w:color w:val="00274C"/>
                <w:position w:val="-2"/>
                <w:sz w:val="20"/>
                <w:szCs w:val="20"/>
                <w:u w:val="none"/>
              </w:rPr>
              <w:t xml:space="preserve">However, development on the engines is continuous. Therefore, the information within this manual is subject to change without notice and without obligation.</w:t>
            </w:r>
          </w:p>
          <w:p>
            <w:pPr>
              <w:numPr>
                <w:ilvl w:val="0"/>
                <w:numId w:val="2624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reserves the right to make, at any time, changes in the engines for technical or commercial reasons.</w:t>
            </w:r>
          </w:p>
          <w:p>
            <w:pPr>
              <w:numPr>
                <w:ilvl w:val="0"/>
                <w:numId w:val="26240"/>
              </w:numPr>
              <w:spacing w:before="0" w:after="0" w:line="262" w:lineRule="auto"/>
              <w:jc w:val="left"/>
              <w:rPr>
                <w:color w:val="00274C"/>
                <w:sz w:val="20"/>
                <w:szCs w:val="20"/>
              </w:rPr>
            </w:pPr>
            <w:r>
              <w:rPr>
                <w:color w:val="00274C"/>
                <w:position w:val="-2"/>
                <w:sz w:val="20"/>
                <w:szCs w:val="20"/>
                <w:u w:val="none"/>
              </w:rPr>
              <w:t xml:space="preserve">These changes do not require </w:t>
            </w:r>
            <w:r>
              <w:rPr>
                <w:b/>
                <w:bCs/>
                <w:color w:val="00274C"/>
                <w:position w:val="-2"/>
                <w:sz w:val="20"/>
                <w:szCs w:val="20"/>
                <w:u w:val="none"/>
              </w:rPr>
              <w:t xml:space="preserve">KOHLER</w:t>
            </w:r>
            <w:r>
              <w:rPr>
                <w:color w:val="00274C"/>
                <w:position w:val="-2"/>
                <w:sz w:val="20"/>
                <w:szCs w:val="20"/>
                <w:u w:val="none"/>
              </w:rPr>
              <w:t xml:space="preserve"> to intervene on the marketed production up to that time and not to consider this manual as inappropriate.</w:t>
            </w:r>
          </w:p>
          <w:p>
            <w:pPr>
              <w:numPr>
                <w:ilvl w:val="0"/>
                <w:numId w:val="26240"/>
              </w:numPr>
              <w:spacing w:before="0" w:after="0" w:line="262" w:lineRule="auto"/>
              <w:jc w:val="left"/>
              <w:rPr>
                <w:color w:val="00274C"/>
                <w:sz w:val="20"/>
                <w:szCs w:val="20"/>
              </w:rPr>
            </w:pPr>
            <w:r>
              <w:rPr>
                <w:color w:val="00274C"/>
                <w:position w:val="-2"/>
                <w:sz w:val="20"/>
                <w:szCs w:val="20"/>
                <w:u w:val="none"/>
              </w:rPr>
              <w:t xml:space="preserve">Any additional section that </w:t>
            </w:r>
            <w:r>
              <w:rPr>
                <w:b/>
                <w:bCs/>
                <w:color w:val="00274C"/>
                <w:position w:val="-2"/>
                <w:sz w:val="20"/>
                <w:szCs w:val="20"/>
                <w:u w:val="none"/>
              </w:rPr>
              <w:t xml:space="preserve">KOHLER</w:t>
            </w:r>
            <w:r>
              <w:rPr>
                <w:color w:val="00274C"/>
                <w:position w:val="-2"/>
                <w:sz w:val="20"/>
                <w:szCs w:val="20"/>
                <w:u w:val="none"/>
              </w:rPr>
              <w:t xml:space="preserve"> will deem necessary to supply some time after the main text shall be kept together with the manual and considered as an integral part of it.</w:t>
            </w:r>
          </w:p>
          <w:p>
            <w:pPr>
              <w:numPr>
                <w:ilvl w:val="0"/>
                <w:numId w:val="26240"/>
              </w:numPr>
              <w:spacing w:before="0" w:after="0" w:line="262" w:lineRule="auto"/>
              <w:jc w:val="left"/>
              <w:rPr>
                <w:color w:val="00274C"/>
                <w:sz w:val="20"/>
                <w:szCs w:val="20"/>
              </w:rPr>
            </w:pPr>
            <w:r>
              <w:rPr>
                <w:color w:val="00274C"/>
                <w:position w:val="-2"/>
                <w:sz w:val="20"/>
                <w:szCs w:val="20"/>
                <w:u w:val="none"/>
              </w:rPr>
              <w:t xml:space="preserve">The information contained within this manual is the sole property of </w:t>
            </w:r>
            <w:r>
              <w:rPr>
                <w:b/>
                <w:bCs/>
                <w:color w:val="00274C"/>
                <w:position w:val="-2"/>
                <w:sz w:val="20"/>
                <w:szCs w:val="20"/>
                <w:u w:val="none"/>
              </w:rPr>
              <w:t xml:space="preserve">KOHLER</w:t>
            </w:r>
            <w:r>
              <w:rPr>
                <w:color w:val="00274C"/>
                <w:position w:val="-2"/>
                <w:sz w:val="20"/>
                <w:szCs w:val="20"/>
                <w:u w:val="none"/>
              </w:rPr>
              <w:t xml:space="preserve"> . As such, no reproduction or replication in whole or part is allowed without the express written permission of </w:t>
            </w:r>
            <w:r>
              <w:rPr>
                <w:b/>
                <w:bCs/>
                <w:color w:val="00274C"/>
                <w:position w:val="-2"/>
                <w:sz w:val="20"/>
                <w:szCs w:val="20"/>
                <w:u w:val="none"/>
              </w:rPr>
              <w:t xml:space="preserve">KOHLER</w:t>
            </w:r>
            <w:r>
              <w:rPr>
                <w:color w:val="00274C"/>
                <w:position w:val="-2"/>
                <w:sz w:val="20"/>
                <w:szCs w:val="20"/>
                <w:u w:val="none"/>
              </w:rPr>
              <w:t xml:space="preserve">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The paragraphs, tables and figure are divided into chapter with their progressive numbers.</w:t>
            </w:r>
          </w:p>
          <w:p>
            <w:pPr>
              <w:widowControl w:val="on"/>
              <w:pBdr/>
              <w:spacing w:before="0" w:after="0" w:line="262" w:lineRule="auto"/>
              <w:ind w:left="0" w:right="0"/>
              <w:jc w:val="left"/>
              <w:textAlignment w:val="center"/>
            </w:pPr>
            <w:r>
              <w:rPr>
                <w:color w:val="00274C"/>
                <w:position w:val="-2"/>
                <w:sz w:val="20"/>
                <w:szCs w:val="20"/>
                <w:u w:val="none"/>
              </w:rPr>
              <w:t xml:space="preserve">Es: </w:t>
            </w:r>
            <w:r>
              <w:rPr>
                <w:b/>
                <w:bCs/>
                <w:color w:val="00274C"/>
                <w:position w:val="-2"/>
                <w:sz w:val="20"/>
                <w:szCs w:val="20"/>
                <w:u w:val="none"/>
              </w:rPr>
              <w:t xml:space="preserve">Par. 2.3</w:t>
            </w:r>
            <w:r>
              <w:rPr>
                <w:color w:val="00274C"/>
                <w:position w:val="-2"/>
                <w:sz w:val="20"/>
                <w:szCs w:val="20"/>
                <w:u w:val="none"/>
              </w:rPr>
              <w:t xml:space="preserve"> - chapter 2 paragraph 3.</w:t>
            </w:r>
            <w:r>
              <w:rPr>
                <w:b/>
                <w:bCs/>
                <w:color w:val="00274C"/>
                <w:position w:val="-2"/>
                <w:sz w:val="20"/>
                <w:szCs w:val="20"/>
                <w:u w:val="none"/>
              </w:rPr>
              <w:br/>
              <w:t xml:space="preserve">Tab. 3.4</w:t>
            </w:r>
            <w:r>
              <w:rPr>
                <w:color w:val="00274C"/>
                <w:position w:val="-2"/>
                <w:sz w:val="20"/>
                <w:szCs w:val="20"/>
                <w:u w:val="none"/>
              </w:rPr>
              <w:t xml:space="preserve"> - chapter 3 table 4.</w:t>
            </w:r>
            <w:r>
              <w:rPr>
                <w:b/>
                <w:bCs/>
                <w:color w:val="00274C"/>
                <w:position w:val="-2"/>
                <w:sz w:val="20"/>
                <w:szCs w:val="20"/>
                <w:u w:val="none"/>
              </w:rPr>
              <w:br/>
              <w:t xml:space="preserve">Fig. 5.5</w:t>
            </w:r>
            <w:r>
              <w:rPr>
                <w:color w:val="00274C"/>
                <w:position w:val="-2"/>
                <w:sz w:val="20"/>
                <w:szCs w:val="20"/>
                <w:u w:val="none"/>
              </w:rPr>
              <w:t xml:space="preserve"> - chapter 5 figure 5.</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All data, measurements and relevant symbols are shown in the glossary section.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6240"/>
              </w:numPr>
              <w:spacing w:before="0" w:after="0" w:line="262" w:lineRule="auto"/>
              <w:jc w:val="left"/>
              <w:rPr>
                <w:color w:val="00274C"/>
                <w:sz w:val="20"/>
                <w:szCs w:val="20"/>
              </w:rPr>
            </w:pPr>
            <w:r>
              <w:rPr>
                <w:color w:val="00274C"/>
                <w:position w:val="-2"/>
                <w:sz w:val="20"/>
                <w:szCs w:val="20"/>
                <w:u w:val="none"/>
              </w:rPr>
              <w:t xml:space="preserve">The complete and updated list of authorized </w:t>
            </w:r>
            <w:r>
              <w:rPr>
                <w:b/>
                <w:bCs/>
                <w:color w:val="00274C"/>
                <w:position w:val="-2"/>
                <w:sz w:val="20"/>
                <w:szCs w:val="20"/>
                <w:u w:val="none"/>
              </w:rPr>
              <w:t xml:space="preserve">Kohler Co.</w:t>
            </w:r>
            <w:r>
              <w:rPr>
                <w:color w:val="00274C"/>
                <w:position w:val="-2"/>
                <w:sz w:val="20"/>
                <w:szCs w:val="20"/>
                <w:u w:val="none"/>
              </w:rPr>
              <w:t xml:space="preserve"> service centers can be found on websites:</w:t>
            </w:r>
            <w:hyperlink r:id="rId9837675afb6638fab" w:history="1">
              <w:r>
                <w:rPr>
                  <w:rStyle w:val="DefaultParagraphFontPHPDOCX"/>
                  <w:b/>
                  <w:bCs/>
                  <w:color w:val="0000FF"/>
                  <w:position w:val="-2"/>
                  <w:sz w:val="20"/>
                  <w:szCs w:val="20"/>
                  <w:u w:val="single" w:color=""/>
                </w:rPr>
                <w:br/>
                <w:t xml:space="preserve">www.kohlerengines.com</w:t>
              </w:r>
            </w:hyperlink>
            <w:r>
              <w:rPr>
                <w:color w:val="00274C"/>
                <w:position w:val="-2"/>
                <w:sz w:val="20"/>
                <w:szCs w:val="20"/>
                <w:u w:val="none"/>
              </w:rPr>
              <w:t xml:space="preserve"> &amp; </w:t>
            </w:r>
            <w:hyperlink r:id="rId3478675afb66391c2" w:history="1">
              <w:r>
                <w:rPr>
                  <w:rStyle w:val="DefaultParagraphFontPHPDOCX"/>
                  <w:b/>
                  <w:bCs/>
                  <w:color w:val="0000FF"/>
                  <w:position w:val="-2"/>
                  <w:sz w:val="20"/>
                  <w:szCs w:val="20"/>
                  <w:u w:val="none"/>
                </w:rPr>
                <w:t xml:space="preserve">dealers.kohlerpower.it</w:t>
              </w:r>
            </w:hyperlink>
            <w:r>
              <w:rPr>
                <w:color w:val="00274C"/>
                <w:position w:val="-2"/>
                <w:sz w:val="20"/>
                <w:szCs w:val="20"/>
                <w:u w:val="none"/>
              </w:rPr>
              <w:t xml:space="preserve"> .</w:t>
            </w:r>
          </w:p>
          <w:p>
            <w:pPr>
              <w:numPr>
                <w:ilvl w:val="0"/>
                <w:numId w:val="26240"/>
              </w:numPr>
              <w:spacing w:before="0" w:after="0" w:line="262" w:lineRule="auto"/>
              <w:jc w:val="left"/>
              <w:rPr>
                <w:color w:val="00274C"/>
                <w:sz w:val="20"/>
                <w:szCs w:val="20"/>
              </w:rPr>
            </w:pPr>
            <w:r>
              <w:rPr>
                <w:color w:val="00274C"/>
                <w:position w:val="-2"/>
                <w:sz w:val="20"/>
                <w:szCs w:val="20"/>
                <w:u w:val="none"/>
              </w:rPr>
              <w:t xml:space="preserve">If you have any questions regarding your warranty rights and responsibilities or the location of the nearest </w:t>
            </w:r>
            <w:r>
              <w:rPr>
                <w:b/>
                <w:bCs/>
                <w:color w:val="00274C"/>
                <w:position w:val="-2"/>
                <w:sz w:val="20"/>
                <w:szCs w:val="20"/>
                <w:u w:val="none"/>
              </w:rPr>
              <w:t xml:space="preserve">Kohler Co.</w:t>
            </w:r>
            <w:r>
              <w:rPr>
                <w:color w:val="00274C"/>
                <w:position w:val="-2"/>
                <w:sz w:val="20"/>
                <w:szCs w:val="20"/>
                <w:u w:val="none"/>
              </w:rPr>
              <w:t xml:space="preserve"> authorized service location, you should contact </w:t>
            </w:r>
            <w:r>
              <w:rPr>
                <w:b/>
                <w:bCs/>
                <w:color w:val="00274C"/>
                <w:position w:val="-2"/>
                <w:sz w:val="20"/>
                <w:szCs w:val="20"/>
                <w:u w:val="none"/>
              </w:rPr>
              <w:t xml:space="preserve">Kohler Co.</w:t>
            </w:r>
            <w:r>
              <w:rPr>
                <w:color w:val="00274C"/>
                <w:position w:val="-2"/>
                <w:sz w:val="20"/>
                <w:szCs w:val="20"/>
                <w:u w:val="none"/>
              </w:rPr>
              <w:t xml:space="preserve"> at 1-800-544-2444 or access our website at </w:t>
            </w:r>
            <w:hyperlink r:id="rId3364675afb6639aa9" w:history="1">
              <w:r>
                <w:rPr>
                  <w:rStyle w:val="DefaultParagraphFontPHPDOCX"/>
                  <w:b/>
                  <w:bCs/>
                  <w:color w:val="0000FF"/>
                  <w:position w:val="-2"/>
                  <w:sz w:val="20"/>
                  <w:szCs w:val="20"/>
                  <w:u w:val="single" w:color=""/>
                </w:rPr>
                <w:t xml:space="preserve">www.kohlerengines.com</w:t>
              </w:r>
            </w:hyperlink>
            <w:r>
              <w:rPr>
                <w:color w:val="00274C"/>
                <w:position w:val="-2"/>
                <w:sz w:val="20"/>
                <w:szCs w:val="20"/>
                <w:u w:val="none"/>
              </w:rPr>
              <w:t xml:space="preserve"> (USA and North American).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r>
        <w:drawing>
          <wp:inline distT="0" distB="0" distL="0" distR="0">
            <wp:extent cx="4752000" cy="6508800"/>
            <wp:effectExtent b="0" l="0" r="0" t="0"/>
            <wp:docPr id="18637733" name="name7725675afb664712b" descr="1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N.jpg"/>
                    <pic:cNvPicPr/>
                  </pic:nvPicPr>
                  <pic:blipFill>
                    <a:blip r:embed="rId8114675afb6647126" cstate="print"/>
                    <a:stretch>
                      <a:fillRect/>
                    </a:stretch>
                  </pic:blipFill>
                  <pic:spPr>
                    <a:xfrm>
                      <a:off x="0" y="0"/>
                      <a:ext cx="4752000" cy="65088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engine identification</w:t>
      </w:r>
    </w:p>
    <w:p>
      <w:pPr>
        <w:widowControl w:val="on"/>
        <w:pBdr/>
        <w:spacing w:before="0" w:after="0" w:line="262" w:lineRule="auto"/>
        <w:ind w:left="0" w:right="0"/>
        <w:jc w:val="left"/>
      </w:pPr>
      <w:r>
        <w:rPr>
          <w:color w:val="00274C"/>
          <w:sz w:val="20"/>
          <w:szCs w:val="20"/>
          <w:u w:val="none"/>
        </w:rPr>
        <w:t xml:space="preserve">The engine identification name plate is situated in the lower part of the crankcase; it is visible from the intake or exhaust side.</w:t>
      </w:r>
    </w:p>
    <w:p>
      <w:pPr>
        <w:widowControl w:val="on"/>
        <w:pBdr/>
        <w:spacing w:before="225" w:after="225" w:line="262" w:lineRule="auto"/>
        <w:ind w:left="0" w:right="0"/>
        <w:jc w:val="left"/>
      </w:pPr>
      <w:r>
        <w:drawing>
          <wp:inline distT="0" distB="0" distL="0" distR="0">
            <wp:extent cx="4752000" cy="3204000"/>
            <wp:effectExtent b="0" l="0" r="0" t="0"/>
            <wp:docPr id="27923903" name="name9541675afb664f92f" descr="3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N.jpg"/>
                    <pic:cNvPicPr/>
                  </pic:nvPicPr>
                  <pic:blipFill>
                    <a:blip r:embed="rId8664675afb664f92a" cstate="print"/>
                    <a:stretch>
                      <a:fillRect/>
                    </a:stretch>
                  </pic:blipFill>
                  <pic:spPr>
                    <a:xfrm>
                      <a:off x="0" y="0"/>
                      <a:ext cx="4752000" cy="3204000"/>
                    </a:xfrm>
                    <a:prstGeom prst="rect">
                      <a:avLst/>
                    </a:prstGeom>
                    <a:ln w="0">
                      <a:noFill/>
                    </a:ln>
                  </pic:spPr>
                </pic:pic>
              </a:graphicData>
            </a:graphic>
          </wp:inline>
        </w:drawing>
      </w:r>
      <w:r>
        <w:rPr>
          <w:b/>
          <w:bCs/>
          <w:color w:val="00274C"/>
          <w:sz w:val="20"/>
          <w:szCs w:val="20"/>
          <w:u w:val="none"/>
        </w:rPr>
        <w:br/>
        <w:br/>
        <w:t xml:space="preserve">Fig 1.1</w:t>
      </w:r>
      <w:r>
        <w:rPr>
          <w:color w:val="00274C"/>
          <w:sz w:val="20"/>
          <w:szCs w:val="20"/>
          <w:u w:val="none"/>
        </w:rPr>
        <w:t xml:space="preserve"> - </w:t>
      </w:r>
      <w:r>
        <w:rPr>
          <w:b/>
          <w:bCs/>
          <w:color w:val="00274C"/>
          <w:sz w:val="20"/>
          <w:szCs w:val="20"/>
          <w:u w:val="none"/>
        </w:rPr>
        <w:t xml:space="preserve">Fig 1.2</w:t>
      </w:r>
    </w:p>
    <w:p>
      <w:pPr>
        <w:widowControl w:val="on"/>
        <w:pBdr/>
        <w:spacing w:before="0" w:after="0" w:line="262" w:lineRule="auto"/>
        <w:ind w:left="0" w:right="0"/>
        <w:jc w:val="left"/>
      </w:pPr>
      <w:r>
        <w:rPr>
          <w:color w:val="00274C"/>
          <w:sz w:val="20"/>
          <w:szCs w:val="20"/>
          <w:u w:val="none"/>
        </w:rPr>
        <w:t xml:space="preserve"> </w:t>
      </w:r>
    </w:p>
    <w:p>
      <w:r>
        <w:drawing>
          <wp:inline distT="0" distB="0" distL="0" distR="0">
            <wp:extent cx="4752000" cy="1807200"/>
            <wp:effectExtent b="0" l="0" r="0" t="0"/>
            <wp:docPr id="72349384" name="name3274675afb6658130" descr="3%28EN%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EN%29.jpg"/>
                    <pic:cNvPicPr/>
                  </pic:nvPicPr>
                  <pic:blipFill>
                    <a:blip r:embed="rId6681675afb665812b" cstate="print"/>
                    <a:stretch>
                      <a:fillRect/>
                    </a:stretch>
                  </pic:blipFill>
                  <pic:spPr>
                    <a:xfrm>
                      <a:off x="0" y="0"/>
                      <a:ext cx="4752000" cy="1807200"/>
                    </a:xfrm>
                    <a:prstGeom prst="rect">
                      <a:avLst/>
                    </a:prstGeom>
                    <a:ln w="0">
                      <a:noFill/>
                    </a:ln>
                  </pic:spPr>
                </pic:pic>
              </a:graphicData>
            </a:graphic>
          </wp:inline>
        </w:drawing>
      </w:r>
      <w:r>
        <w:rPr>
          <w:b/>
          <w:bCs/>
          <w:color w:val="00274C"/>
          <w:sz w:val="20"/>
          <w:szCs w:val="20"/>
          <w:u w:val="none"/>
        </w:rPr>
        <w:br/>
        <w:t xml:space="preserve">Fig 1.3</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6241">
    <w:multiLevelType w:val="hybridMultilevel"/>
    <w:lvl w:ilvl="0" w:tplc="78481531">
      <w:start w:val="1"/>
      <w:numFmt w:val="decimal"/>
      <w:lvlText w:val="%1."/>
      <w:lvlJc w:val="left"/>
      <w:pPr>
        <w:ind w:left="720" w:hanging="360"/>
      </w:pPr>
    </w:lvl>
    <w:lvl w:ilvl="1" w:tplc="78481531" w:tentative="1">
      <w:start w:val="1"/>
      <w:numFmt w:val="lowerLetter"/>
      <w:lvlText w:val="%2."/>
      <w:lvlJc w:val="left"/>
      <w:pPr>
        <w:ind w:left="1440" w:hanging="360"/>
      </w:pPr>
    </w:lvl>
    <w:lvl w:ilvl="2" w:tplc="78481531" w:tentative="1">
      <w:start w:val="1"/>
      <w:numFmt w:val="lowerRoman"/>
      <w:lvlText w:val="%3."/>
      <w:lvlJc w:val="right"/>
      <w:pPr>
        <w:ind w:left="2160" w:hanging="180"/>
      </w:pPr>
    </w:lvl>
    <w:lvl w:ilvl="3" w:tplc="78481531" w:tentative="1">
      <w:start w:val="1"/>
      <w:numFmt w:val="decimal"/>
      <w:lvlText w:val="%4."/>
      <w:lvlJc w:val="left"/>
      <w:pPr>
        <w:ind w:left="2880" w:hanging="360"/>
      </w:pPr>
    </w:lvl>
    <w:lvl w:ilvl="4" w:tplc="78481531" w:tentative="1">
      <w:start w:val="1"/>
      <w:numFmt w:val="lowerLetter"/>
      <w:lvlText w:val="%5."/>
      <w:lvlJc w:val="left"/>
      <w:pPr>
        <w:ind w:left="3600" w:hanging="360"/>
      </w:pPr>
    </w:lvl>
    <w:lvl w:ilvl="5" w:tplc="78481531" w:tentative="1">
      <w:start w:val="1"/>
      <w:numFmt w:val="lowerRoman"/>
      <w:lvlText w:val="%6."/>
      <w:lvlJc w:val="right"/>
      <w:pPr>
        <w:ind w:left="4320" w:hanging="180"/>
      </w:pPr>
    </w:lvl>
    <w:lvl w:ilvl="6" w:tplc="78481531" w:tentative="1">
      <w:start w:val="1"/>
      <w:numFmt w:val="decimal"/>
      <w:lvlText w:val="%7."/>
      <w:lvlJc w:val="left"/>
      <w:pPr>
        <w:ind w:left="5040" w:hanging="360"/>
      </w:pPr>
    </w:lvl>
    <w:lvl w:ilvl="7" w:tplc="78481531" w:tentative="1">
      <w:start w:val="1"/>
      <w:numFmt w:val="lowerLetter"/>
      <w:lvlText w:val="%8."/>
      <w:lvlJc w:val="left"/>
      <w:pPr>
        <w:ind w:left="5760" w:hanging="360"/>
      </w:pPr>
    </w:lvl>
    <w:lvl w:ilvl="8" w:tplc="78481531" w:tentative="1">
      <w:start w:val="1"/>
      <w:numFmt w:val="lowerRoman"/>
      <w:lvlText w:val="%9."/>
      <w:lvlJc w:val="right"/>
      <w:pPr>
        <w:ind w:left="6480" w:hanging="180"/>
      </w:pPr>
    </w:lvl>
  </w:abstractNum>
  <w:abstractNum w:abstractNumId="26240">
    <w:multiLevelType w:val="hybridMultilevel"/>
    <w:lvl w:ilvl="0" w:tplc="660242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240">
    <w:abstractNumId w:val="26240"/>
  </w:num>
  <w:num w:numId="26241">
    <w:abstractNumId w:val="262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67490968" Type="http://schemas.openxmlformats.org/officeDocument/2006/relationships/comments" Target="comments.xml"/><Relationship Id="rId626820999" Type="http://schemas.microsoft.com/office/2011/relationships/commentsExtended" Target="commentsExtended.xml"/><Relationship Id="rId68721023" Type="http://schemas.openxmlformats.org/officeDocument/2006/relationships/image" Target="media/imgrId68721023.jpg"/><Relationship Id="rId9837675afb6638fab" Type="http://schemas.openxmlformats.org/officeDocument/2006/relationships/hyperlink" Target="http://www.kohlerengines.com/home.htm" TargetMode="External"/><Relationship Id="rId3478675afb66391c2" Type="http://schemas.openxmlformats.org/officeDocument/2006/relationships/hyperlink" Target="http://dealers.kohlerpower.it/" TargetMode="External"/><Relationship Id="rId3364675afb6639aa9" Type="http://schemas.openxmlformats.org/officeDocument/2006/relationships/hyperlink" Target="http://www.kohlerengines.com/home.htm" TargetMode="External"/><Relationship Id="rId8114675afb6647126" Type="http://schemas.openxmlformats.org/officeDocument/2006/relationships/image" Target="media/imgrId8114675afb6647126.jpg"/><Relationship Id="rId8664675afb664f92a" Type="http://schemas.openxmlformats.org/officeDocument/2006/relationships/image" Target="media/imgrId8664675afb664f92a.jpg"/><Relationship Id="rId6681675afb665812b" Type="http://schemas.openxmlformats.org/officeDocument/2006/relationships/image" Target="media/imgrId6681675afb665812b.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8721023" Type="http://schemas.openxmlformats.org/officeDocument/2006/relationships/image" Target="media/imgrId6872102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8721023" Type="http://schemas.openxmlformats.org/officeDocument/2006/relationships/image" Target="media/imgrId6872102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8721023" Type="http://schemas.openxmlformats.org/officeDocument/2006/relationships/image" Target="media/imgrId6872102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8721023" Type="http://schemas.openxmlformats.org/officeDocument/2006/relationships/image" Target="media/imgrId6872102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8721023" Type="http://schemas.openxmlformats.org/officeDocument/2006/relationships/image" Target="media/imgrId6872102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8721023" Type="http://schemas.openxmlformats.org/officeDocument/2006/relationships/image" Target="media/imgrId6872102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