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3404 TM (Rev. 08.4)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890291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5333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98414" w:name="ctxt"/>
    <w:bookmarkEnd w:id="5798414"/>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SPÉCIFICATIONS DE CONSTRUCTION ET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Cycle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Alésage x 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96X116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 de compression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Suralimenté par un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du vilebrequin (vue du coté volant)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Séquence de combustion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 par cylindre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Jauges et culbuteurs - Arbre à cames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Poids du moteur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 ET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maximal (à 1500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CONSOMMATIONS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de carburant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ALIMENTATION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 basse pression</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à l'entrée de la 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LUBRIFICATION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prescrite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Voir </w:t>
            </w:r>
            <w:hyperlink r:id="rId7838677bcfc5d9dd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lobes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Capacité du carter d'huile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Pressostat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d'intervention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Voir </w:t>
            </w:r>
            <w:hyperlink r:id="rId1965677bcfc5ddc84"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d’ouverture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Course à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Recirculation du liquide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INSTALLATION ÉLECTRIQUE - VENTILATEUR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nominal du circuit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extérieur (courant nominal)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Absorption électrique du système, sauf:</w:t>
            </w:r>
            <w:r>
              <w:rPr>
                <w:color w:val="00274C"/>
                <w:position w:val="-2"/>
                <w:sz w:val="20"/>
                <w:szCs w:val="20"/>
                <w:u w:val="none"/>
                <w:shd w:val="clear" w:color="auto" w:fill="E1E2E0"/>
              </w:rPr>
              <w:br/>
              <w:t xml:space="preserve">corps de chauffe, pompe électrique, ventilateur électrique,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Voyant de température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allumage voyant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225" w:after="225" w:line="262" w:lineRule="auto"/>
        <w:ind w:left="0" w:right="0"/>
        <w:jc w:val="left"/>
      </w:pPr>
      <w:r>
        <w:drawing>
          <wp:inline distT="0" distB="0" distL="0" distR="0">
            <wp:extent cx="4752000" cy="2700000"/>
            <wp:effectExtent b="0" l="0" r="0" t="0"/>
            <wp:docPr id="96416952" name="name3292677bcfc5ee128"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083677bcfc5ee123" cstate="print"/>
                    <a:stretch>
                      <a:fillRect/>
                    </a:stretch>
                  </pic:blipFill>
                  <pic:spPr>
                    <a:xfrm>
                      <a:off x="0" y="0"/>
                      <a:ext cx="4752000" cy="2700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avec AFTER COOLER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sans AFTER COOLER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70Hz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50Hz  @1800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63Hz @1500 rpm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63Hz @1500 rpm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 95.2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 81.6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 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63 / 85.7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54 / 73.4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 / 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56.7 / 77.1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56.7 / 77.1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5"/>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CONSOMMATION DE CARBURANT (g/kWh)</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Consommation de carburant avec charge de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Consommation de carburant avec charge de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255.4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Consommation de carburant avec charge de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Consommation de carburant avec charge de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325.1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Consommation de carburant avec charge de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380</w:t>
                  </w:r>
                </w:p>
              </w:tc>
            </w:tr>
          </w:tbl>
          <w:p/>
        </w:tc>
      </w:tr>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b/>
                <w:bCs/>
                <w:color w:val="00274C"/>
                <w:position w:val="-2"/>
                <w:sz w:val="20"/>
                <w:szCs w:val="20"/>
                <w:u w:val="none"/>
              </w:rPr>
              <w:t xml:space="preserve">M: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480663" name="name3032677bcfc60cd4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295677bcfc60cd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24"/>
              </w:rPr>
              <w:drawing>
                <wp:inline distT="0" distB="0" distL="0" distR="0">
                  <wp:extent cx="3240000" cy="3952800"/>
                  <wp:effectExtent b="0" l="0" r="0" t="0"/>
                  <wp:docPr id="67971832" name="name3044677bcfc617ecb" descr="KDI3404TM_70kW_1800rpm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70kW_1800rpm_%28003%29.png"/>
                          <pic:cNvPicPr/>
                        </pic:nvPicPr>
                        <pic:blipFill>
                          <a:blip r:embed="rId8870677bcfc617ec7" cstate="print"/>
                          <a:stretch>
                            <a:fillRect/>
                          </a:stretch>
                        </pic:blipFill>
                        <pic:spPr>
                          <a:xfrm>
                            <a:off x="0" y="0"/>
                            <a:ext cx="3240000" cy="3952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2"/>
              </w:rPr>
              <w:drawing>
                <wp:inline distT="0" distB="0" distL="0" distR="0">
                  <wp:extent cx="3240000" cy="3952800"/>
                  <wp:effectExtent b="0" l="0" r="0" t="0"/>
                  <wp:docPr id="97245361" name="name4668677bcfc621cca" descr="KDI3404TM_60kW%401800rpm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0kW%401800rpm_%28003%29.png"/>
                          <pic:cNvPicPr/>
                        </pic:nvPicPr>
                        <pic:blipFill>
                          <a:blip r:embed="rId8210677bcfc621cc4" cstate="print"/>
                          <a:stretch>
                            <a:fillRect/>
                          </a:stretch>
                        </pic:blipFill>
                        <pic:spPr>
                          <a:xfrm>
                            <a:off x="0" y="0"/>
                            <a:ext cx="3240000" cy="3952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7"/>
              </w:rPr>
              <w:drawing>
                <wp:inline distT="0" distB="0" distL="0" distR="0">
                  <wp:extent cx="3240000" cy="4017600"/>
                  <wp:effectExtent b="0" l="0" r="0" t="0"/>
                  <wp:docPr id="14955938" name="name9684677bcfc62d702" descr="KDI3404TM_50kW%401800r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50kW%401800rpm.png"/>
                          <pic:cNvPicPr/>
                        </pic:nvPicPr>
                        <pic:blipFill>
                          <a:blip r:embed="rId8932677bcfc62d6fe" cstate="print"/>
                          <a:stretch>
                            <a:fillRect/>
                          </a:stretch>
                        </pic:blipFill>
                        <pic:spPr>
                          <a:xfrm>
                            <a:off x="0" y="0"/>
                            <a:ext cx="3240000" cy="40176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0"/>
              </w:rPr>
              <w:drawing>
                <wp:inline distT="0" distB="0" distL="0" distR="0">
                  <wp:extent cx="3240000" cy="3924000"/>
                  <wp:effectExtent b="0" l="0" r="0" t="0"/>
                  <wp:docPr id="22769722" name="name1177677bcfc637bf0" descr="KDI3404TM_63kW%401500r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3kW%401500rpm.png"/>
                          <pic:cNvPicPr/>
                        </pic:nvPicPr>
                        <pic:blipFill>
                          <a:blip r:embed="rId7916677bcfc637bec" cstate="print"/>
                          <a:stretch>
                            <a:fillRect/>
                          </a:stretch>
                        </pic:blipFill>
                        <pic:spPr>
                          <a:xfrm>
                            <a:off x="0" y="0"/>
                            <a:ext cx="3240000" cy="39240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312"/>
              </w:rPr>
              <w:drawing>
                <wp:inline distT="0" distB="0" distL="0" distR="0">
                  <wp:extent cx="3240000" cy="3960000"/>
                  <wp:effectExtent b="0" l="0" r="0" t="0"/>
                  <wp:docPr id="62605141" name="name6968677bcfc641bdf" descr="KDI3404TM_63kW%401500rpm_no_emission_%280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3404TM_63kW%401500rpm_no_emission_%28003%29.png"/>
                          <pic:cNvPicPr/>
                        </pic:nvPicPr>
                        <pic:blipFill>
                          <a:blip r:embed="rId9544677bcfc641bdb" cstate="print"/>
                          <a:stretch>
                            <a:fillRect/>
                          </a:stretch>
                        </pic:blipFill>
                        <pic:spPr>
                          <a:xfrm>
                            <a:off x="0" y="0"/>
                            <a:ext cx="3240000" cy="39600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374277" name="name9494677bcfc64ab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16677bcfc64ab8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450"/>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2450"/>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2450"/>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2450"/>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2450"/>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913555" name="name5829677bcfc654e6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49677bcfc654e6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450"/>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2450"/>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2450"/>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2450"/>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2450"/>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 PRESCRIT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r>
              <w:rPr>
                <w:color w:val="00274C"/>
                <w:position w:val="-2"/>
                <w:sz w:val="20"/>
                <w:szCs w:val="20"/>
                <w:u w:val="none"/>
                <w:shd w:val="clear" w:color="auto" w:fill="E1E2E0"/>
              </w:rP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SPÉCIFICATIONS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bl>
    <w:p>
      <w:pPr>
        <w:widowControl w:val="on"/>
        <w:pBdr/>
        <w:spacing w:before="0" w:after="0" w:line="262" w:lineRule="auto"/>
        <w:ind w:left="0" w:right="0"/>
        <w:jc w:val="left"/>
      </w:pPr>
      <w:r>
        <w:rPr>
          <w:color w:val="00274C"/>
          <w:sz w:val="20"/>
          <w:szCs w:val="20"/>
          <w:u w:val="none"/>
        </w:rPr>
        <w:t xml:space="preserve"> </w:t>
      </w:r>
    </w:p>
    <w:p>
      <w:pPr>
        <w:numPr>
          <w:ilvl w:val="0"/>
          <w:numId w:val="22450"/>
        </w:numPr>
        <w:spacing w:before="0" w:after="0" w:line="240" w:lineRule="auto"/>
        <w:jc w:val="left"/>
        <w:rPr>
          <w:color w:val="00274C"/>
          <w:sz w:val="20"/>
          <w:szCs w:val="20"/>
        </w:rPr>
      </w:pPr>
      <w:r>
        <w:rPr>
          <w:color w:val="00274C"/>
          <w:sz w:val="20"/>
          <w:szCs w:val="20"/>
          <w:u w:val="none"/>
        </w:rPr>
        <w:t xml:space="preserve">Les huiles « low SAPS », avec des cendres sulfatées 50 ppm.</w:t>
      </w:r>
    </w:p>
    <w:p>
      <w:pPr>
        <w:numPr>
          <w:ilvl w:val="0"/>
          <w:numId w:val="22450"/>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019417" name="name3983677bcfc66253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79677bcfc66253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450"/>
        </w:numPr>
        <w:spacing w:before="0" w:after="0" w:line="240" w:lineRule="auto"/>
        <w:jc w:val="left"/>
        <w:rPr>
          <w:color w:val="00274C"/>
          <w:sz w:val="20"/>
          <w:szCs w:val="20"/>
        </w:rPr>
      </w:pPr>
      <w:r>
        <w:rPr>
          <w:color w:val="00274C"/>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2450"/>
        </w:numPr>
        <w:spacing w:before="0" w:after="0" w:line="240" w:lineRule="auto"/>
        <w:jc w:val="left"/>
        <w:rPr>
          <w:color w:val="00274C"/>
          <w:sz w:val="20"/>
          <w:szCs w:val="20"/>
        </w:rPr>
      </w:pPr>
      <w:r>
        <w:rPr>
          <w:b/>
          <w:bCs/>
          <w:color w:val="00274C"/>
          <w:sz w:val="20"/>
          <w:szCs w:val="20"/>
          <w:u w:val="none"/>
        </w:rPr>
        <w:t xml:space="preserve">Toute défaillance résultant de l’utilisation de carburants autres que ceux recommandée, ne sera pas prise en charge sous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23379" name="name1949677bcfc66906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159677bcfc66906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Avertissement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450"/>
        </w:numPr>
        <w:spacing w:before="0" w:after="0" w:line="240" w:lineRule="auto"/>
        <w:jc w:val="left"/>
        <w:rPr>
          <w:color w:val="00274C"/>
          <w:sz w:val="20"/>
          <w:szCs w:val="20"/>
        </w:rPr>
      </w:pPr>
      <w:r>
        <w:rPr>
          <w:color w:val="00274C"/>
          <w:sz w:val="20"/>
          <w:szCs w:val="20"/>
          <w:u w:val="none"/>
        </w:rPr>
        <w:t xml:space="preserve">Un carburant propre évite le colmatage des injecteurs de carburant. Nettoyer immédiatement tout déversement pendant le remplissage.</w:t>
      </w:r>
    </w:p>
    <w:p>
      <w:pPr>
        <w:numPr>
          <w:ilvl w:val="0"/>
          <w:numId w:val="22450"/>
        </w:numPr>
        <w:spacing w:before="0" w:after="0" w:line="240" w:lineRule="auto"/>
        <w:jc w:val="left"/>
        <w:rPr>
          <w:color w:val="00274C"/>
          <w:sz w:val="20"/>
          <w:szCs w:val="20"/>
        </w:rPr>
      </w:pPr>
      <w:r>
        <w:rPr>
          <w:color w:val="00274C"/>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DE CARBURANT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(teneur maxi en biocarburant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Qualité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équivalent au carburant diesel conformément à la norme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ou ASTM D 975 Qualité 1, 2 -D S15 Carburant arctique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N°1, N°2</w:t>
            </w:r>
          </w:p>
        </w:tc>
      </w:tr>
    </w:tbl>
    <w:p>
      <w:pPr>
        <w:widowControl w:val="on"/>
        <w:pBdr/>
        <w:spacing w:before="0" w:after="0" w:line="262" w:lineRule="auto"/>
        <w:ind w:left="0" w:right="0"/>
        <w:jc w:val="left"/>
      </w:pPr>
      <w:r>
        <w:rPr>
          <w:b/>
          <w:bCs/>
          <w:color w:val="00274C"/>
          <w:sz w:val="20"/>
          <w:szCs w:val="20"/>
          <w:u w:val="none"/>
        </w:rPr>
        <w:t xml:space="preserve">REMARQUE: </w:t>
      </w:r>
      <w:r>
        <w:rPr>
          <w:color w:val="00274C"/>
          <w:sz w:val="20"/>
          <w:szCs w:val="20"/>
          <w:u w:val="none"/>
        </w:rPr>
        <w:t xml:space="preserve"> En cas de garantie, le client doit prouver par le biais d’un certificat délivré par le fournisseur de carburant, qu’un carburant autorisé a été utilisé.</w:t>
      </w:r>
    </w:p>
    <w:p>
      <w:pPr>
        <w:widowControl w:val="on"/>
        <w:pBdr/>
        <w:spacing w:before="0" w:after="0" w:line="262" w:lineRule="auto"/>
        <w:ind w:left="0" w:right="0"/>
        <w:jc w:val="left"/>
      </w:pPr>
      <w:r>
        <w:rPr>
          <w:b/>
          <w:bCs/>
          <w:i/>
          <w:iCs/>
          <w:color w:val="00274C"/>
          <w:sz w:val="20"/>
          <w:szCs w:val="20"/>
          <w:u w:val="none"/>
        </w:rPr>
        <w:br/>
        <w:t xml:space="preserve">Moteurs KDI à injection mécanique certifiés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(avec et sans EGR)</w:t>
      </w:r>
    </w:p>
    <w:p>
      <w:pPr>
        <w:numPr>
          <w:ilvl w:val="0"/>
          <w:numId w:val="22450"/>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500 mg/kg (ppm). La conformité avec les exigences en matière d’émissions est garantie uniquement pour une teneur en soufre de maximum 15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 En cas de teneur élevée en soufre dans le carburant, l’intervalle peut être fixé à 125 heures. Ne pas utiliser les huiles « low SAPS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Moteurs KDI à injection mécanique non certifiés (pas de moteurs EGR)</w:t>
      </w:r>
    </w:p>
    <w:p>
      <w:pPr>
        <w:numPr>
          <w:ilvl w:val="0"/>
          <w:numId w:val="22450"/>
        </w:numPr>
        <w:spacing w:before="0" w:after="0" w:line="240" w:lineRule="auto"/>
        <w:jc w:val="left"/>
        <w:rPr>
          <w:color w:val="00274C"/>
          <w:sz w:val="20"/>
          <w:szCs w:val="20"/>
        </w:rPr>
      </w:pPr>
      <w:r>
        <w:rPr>
          <w:color w:val="00274C"/>
          <w:sz w:val="20"/>
          <w:szCs w:val="20"/>
          <w:u w:val="none"/>
        </w:rPr>
        <w:t xml:space="preserve">Ces moteurs sont conçus pour des carburants conformes aux normes EN 590 et ASTM D975 pour un indice de cétane de minimum 45. Étant donné que ces moteurs ne sont pas équipés de post-traitement des gaz d’échappement, ils peuvent être exploités avec ces carburants diesel avec une teneur en soufre jusqu’à 2 000 mg/kg (ppm).</w:t>
      </w:r>
      <w:r>
        <w:rPr>
          <w:color w:val="00274C"/>
          <w:sz w:val="20"/>
          <w:szCs w:val="20"/>
          <w:u w:val="none"/>
        </w:rPr>
        <w:br/>
        <w:t xml:space="preserve">Les moteurs exploités avec des carburants conformes à la norme EN 590 et ASTM D975, avec une teneur en soufre &lt; 15 mg/kg, sont soumis à des intervalles de vidange d’huile de 500 heures. Les carburants d’une teneur en soufre &gt; 500 mg/kg nécessitent un intervalle plus cours de vidange de l’huile de lubrification. Il est fixé à 250 heures. Néanmoins, l’huile moteur doit être changée lorsque l’indice d'alcalinité totale (TBN) est réduit à 6,0 mgKOH/g, selon la méthode d’essai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 pour températures basses</w:t>
      </w:r>
    </w:p>
    <w:p>
      <w:pPr>
        <w:numPr>
          <w:ilvl w:val="0"/>
          <w:numId w:val="22450"/>
        </w:numPr>
        <w:spacing w:before="0" w:after="0" w:line="240" w:lineRule="auto"/>
        <w:jc w:val="left"/>
        <w:rPr>
          <w:color w:val="00274C"/>
          <w:sz w:val="20"/>
          <w:szCs w:val="20"/>
        </w:rPr>
      </w:pPr>
      <w:r>
        <w:rPr>
          <w:color w:val="00274C"/>
          <w:sz w:val="20"/>
          <w:szCs w:val="20"/>
          <w:u w:val="none"/>
        </w:rPr>
        <w:t xml:space="preserve">En d’utilisation du moteur à des températures ambiantes inférieures à 0 °C, utiliser un carburant adapté aux basses températures, disponible couramment chez les distributeurs de carburant et conforme aux spécifications du </w:t>
      </w:r>
      <w:r>
        <w:rPr>
          <w:b/>
          <w:bCs/>
          <w:color w:val="00274C"/>
          <w:sz w:val="20"/>
          <w:szCs w:val="20"/>
          <w:u w:val="none"/>
        </w:rPr>
        <w:t xml:space="preserve">tab. 2.3.</w:t>
      </w:r>
    </w:p>
    <w:p>
      <w:pPr>
        <w:numPr>
          <w:ilvl w:val="0"/>
          <w:numId w:val="22450"/>
        </w:numPr>
        <w:spacing w:before="0" w:after="0" w:line="240" w:lineRule="auto"/>
        <w:jc w:val="left"/>
        <w:rPr>
          <w:color w:val="00274C"/>
          <w:sz w:val="20"/>
          <w:szCs w:val="20"/>
        </w:rPr>
      </w:pPr>
      <w:r>
        <w:rPr>
          <w:color w:val="00274C"/>
          <w:sz w:val="20"/>
          <w:szCs w:val="20"/>
          <w:u w:val="none"/>
        </w:rPr>
        <w:t xml:space="preserve">Ces carburants réduisent la formation de paraffine dans le carburant à basses températures.</w:t>
      </w:r>
    </w:p>
    <w:p>
      <w:pPr>
        <w:numPr>
          <w:ilvl w:val="0"/>
          <w:numId w:val="22450"/>
        </w:numPr>
        <w:spacing w:before="0" w:after="0" w:line="240" w:lineRule="auto"/>
        <w:jc w:val="left"/>
        <w:rPr>
          <w:color w:val="00274C"/>
          <w:sz w:val="20"/>
          <w:szCs w:val="20"/>
        </w:rPr>
      </w:pPr>
      <w:r>
        <w:rPr>
          <w:color w:val="00274C"/>
          <w:sz w:val="20"/>
          <w:szCs w:val="20"/>
          <w:u w:val="none"/>
        </w:rPr>
        <w:t xml:space="preserve">Lorsque de la paraffine se forme dans le carburant, le filtre à carburant se bouche ce qui interrompt l’écoulement du carburant.</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 Biodiesel</w:t>
      </w:r>
    </w:p>
    <w:p>
      <w:pPr>
        <w:numPr>
          <w:ilvl w:val="0"/>
          <w:numId w:val="22450"/>
        </w:numPr>
        <w:spacing w:before="0" w:after="0" w:line="240" w:lineRule="auto"/>
        <w:jc w:val="left"/>
        <w:rPr>
          <w:color w:val="00274C"/>
          <w:sz w:val="20"/>
          <w:szCs w:val="20"/>
        </w:rPr>
      </w:pPr>
      <w:r>
        <w:rPr>
          <w:color w:val="00274C"/>
          <w:sz w:val="20"/>
          <w:szCs w:val="20"/>
          <w:u w:val="none"/>
        </w:rPr>
        <w:t xml:space="preserve">Les carburants contenant 10 % d’esther de méthyle ou B10, conviennent pour une utilisation dans ce moteur à condition qu’ils respectent les spécifications du </w:t>
      </w:r>
      <w:r>
        <w:rPr>
          <w:b/>
          <w:bCs/>
          <w:color w:val="00274C"/>
          <w:sz w:val="20"/>
          <w:szCs w:val="20"/>
          <w:u w:val="none"/>
        </w:rPr>
        <w:t xml:space="preserve">tab. 2.3</w:t>
      </w:r>
      <w:r>
        <w:rPr>
          <w:color w:val="00274C"/>
          <w:sz w:val="20"/>
          <w:szCs w:val="20"/>
          <w:u w:val="none"/>
        </w:rPr>
        <w:t xml:space="preserve"> .</w:t>
      </w:r>
    </w:p>
    <w:p>
      <w:pPr>
        <w:numPr>
          <w:ilvl w:val="0"/>
          <w:numId w:val="22450"/>
        </w:numPr>
        <w:spacing w:before="0" w:after="0" w:line="240" w:lineRule="auto"/>
        <w:jc w:val="left"/>
        <w:rPr>
          <w:color w:val="00274C"/>
          <w:sz w:val="20"/>
          <w:szCs w:val="20"/>
        </w:rPr>
      </w:pPr>
      <w:r>
        <w:rPr>
          <w:b/>
          <w:bCs/>
          <w:color w:val="00274C"/>
          <w:sz w:val="20"/>
          <w:szCs w:val="20"/>
          <w:u w:val="none"/>
        </w:rPr>
        <w:t xml:space="preserve">NE PAS UTILISER</w:t>
      </w:r>
      <w:r>
        <w:rPr>
          <w:color w:val="00274C"/>
          <w:sz w:val="20"/>
          <w:szCs w:val="20"/>
          <w:u w:val="none"/>
        </w:rPr>
        <w:t xml:space="preserve"> d’huile végétale comme biocarburant pour ce moteur.</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COMPATIBILITÉ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à la norme EN 14214 (admissible uniquement pour un mélange avec un carburant diesel à maxi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US conforme à la norme ASTM D6751 – 09a (B100) (admissible uniquement pour un mélange avec un carburant diesel à maxi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Carburants de synthèse : GTL, CTL, BTL, HV</w:t>
      </w:r>
      <w:r>
        <w:rPr>
          <w:color w:val="00274C"/>
          <w:sz w:val="20"/>
          <w:szCs w:val="20"/>
          <w:u w:val="none"/>
        </w:rPr>
        <w:br/>
        <w:t xml:space="preserve"> C’est un fait largement répandu que les moteurs exploités pendant des périodes prolongées avec un carburant diesel conventionnel, qui sont ensuite convertis en carburants de synthèse, souffrent d’un rétrécissement des joints polymère du système d’injection et donc de fuites de carburant. La raison à cette situation : les carburants de synthèse sans odeur peuvent provoquer une modification du comportement étanche des joints polymères.</w:t>
      </w:r>
      <w:r>
        <w:rPr>
          <w:color w:val="00274C"/>
          <w:sz w:val="20"/>
          <w:szCs w:val="20"/>
          <w:u w:val="none"/>
        </w:rPr>
        <w:br/>
        <w:t xml:space="preserve">Par conséquent, une transformation du carburant diesel au carburant de synthèse peut se produire uniquement après avoir remplacé les joints critiques. Le problème de rétrécissement ne se produit pas lorsqu’un moteur a été exploité dès le départ avec un carburant de synthèse.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Carburants non-routiers</w:t>
      </w:r>
    </w:p>
    <w:p>
      <w:pPr>
        <w:widowControl w:val="on"/>
        <w:pBdr/>
        <w:spacing w:before="0" w:after="0" w:line="262" w:lineRule="auto"/>
        <w:ind w:left="0" w:right="0"/>
        <w:jc w:val="left"/>
      </w:pPr>
      <w:r>
        <w:rPr>
          <w:color w:val="00274C"/>
          <w:sz w:val="20"/>
          <w:szCs w:val="20"/>
          <w:u w:val="none"/>
        </w:rPr>
        <w:br/>
        <w:t xml:space="preserve">D’autres carburants non-routiers peuvent être utilisés s’ils sont conformes avec les valeurs-limites de la norme EN 590 sauf en ce qui concerne la densité de carburant, l’indice de cétane et la teneur en soufre.</w:t>
      </w:r>
      <w:r>
        <w:rPr>
          <w:color w:val="00274C"/>
          <w:sz w:val="20"/>
          <w:szCs w:val="20"/>
          <w:u w:val="none"/>
        </w:rPr>
        <w:br/>
        <w:t xml:space="preserve">Les limites suivantes s’appliquent pour ces paramètres: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PARAMETRE CARBURANT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cétane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de carburant à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Teneur en soufre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ou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Carburants d’aviation</w:t>
      </w:r>
      <w:r>
        <w:rPr>
          <w:i/>
          <w:iCs/>
          <w:color w:val="00274C"/>
          <w:sz w:val="20"/>
          <w:szCs w:val="20"/>
          <w:u w:val="none"/>
        </w:rPr>
        <w:br/>
        <w:t xml:space="preserve">Uniquement pour les moteurs non certifiés à injection mécanique KDI (pas de moteurs EGR).</w:t>
      </w:r>
      <w:r>
        <w:rPr>
          <w:color w:val="00274C"/>
          <w:sz w:val="20"/>
          <w:szCs w:val="20"/>
          <w:u w:val="none"/>
        </w:rPr>
        <w:br/>
        <w:t xml:space="preserve">Les carburants d’aviation suivants peuvent être utilisés mais uniquement en mettant en place un filtre à carburant supplémentaire avec dispositif de dosage d'onctuosité:</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P-8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(kérosène, désignation OTAN)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(kérosène, désignation armée américaine)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équivaut à F-34/F-35 avec additifs)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(kérosène pour l’aviation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(kérosène, désignation OTAN, mélange 1:1 de F-54 et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(kérosène pour l’aviation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Instructions d’installation relatives aux émissions</w:t>
      </w:r>
      <w:r>
        <w:rPr>
          <w:color w:val="00274C"/>
          <w:sz w:val="20"/>
          <w:szCs w:val="20"/>
          <w:u w:val="none"/>
        </w:rPr>
        <w:t xml:space="preserve"> Tout non-respect des instructions indiquées dans le manuel des applications, lors de l’installation d’un moteur certifié dans une partie d’un équipement non-routier, est en infraction avec la loi fédérale (40 CFR 1068.105(b)), et pourra faire l’objet d'amendes ou autres pénalités comme indiqué dans la Loi sur la qualité de l’air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L’équipementier OEM doit apposer une étiquette séparée comportant la déclaration suivante : « UNIQUEMENT CARBURANT A TENEUR ULTRA-BASSE EN SULFURE » à côté de l’entrée de carburant.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Assurez-vous d’installer un moteur doté des certifications appropriées pour votre application. Des moteurs à vitesse constante peuvent être installés sur un équipement à vitesse constante pour un fonctionnement à vitesse constante.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Si vous installez le moteur d’une manière qui rend difficile la lecture de l’étiquette comportant les informations de contrôle d’émission du moteur pendant la maintenance normale du moteur, vous devez placer une autre étiquette sur l’équipement, comme décrit dans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1817288" name="name3532677bcfc680b6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77677bcfc680b6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 2.8, Tableau 2.9, Tableau 2.10 et Tableau 2.11</w:t>
      </w:r>
      <w:r>
        <w:rPr>
          <w:color w:val="00274C"/>
          <w:sz w:val="20"/>
          <w:szCs w:val="20"/>
          <w:u w:val="none"/>
        </w:rPr>
        <w:t xml:space="preserve">  et se rapportent à une exploitation du moteur dans des conditions de fonctionnement normales avec un carburant et une huile conformes aux spécifications recommandées.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Présence d’eau dans le filtre à carburant</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et refroidis.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en caoutchouc (air d’admission / 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Condition environnementale difficile Courroie Poly-V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standard Courroie Poly-V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non certifiés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injection mécanique non certifiés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En cas de faible consommation : 36 mois.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p>
    <w:p>
      <w:pPr>
        <w:widowControl w:val="on"/>
        <w:pBdr/>
        <w:spacing w:before="0" w:after="0" w:line="262" w:lineRule="auto"/>
        <w:ind w:left="0" w:right="0"/>
        <w:jc w:val="left"/>
      </w:pPr>
      <w:r>
        <w:rPr>
          <w:color w:val="00274C"/>
          <w:sz w:val="20"/>
          <w:szCs w:val="20"/>
          <w:u w:val="none"/>
        </w:rP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w:t>
      </w:r>
      <w:hyperlink r:id="rId2803677bcfc69803d" w:history="1">
        <w:r>
          <w:rPr>
            <w:rStyle w:val="DefaultParagraphFontPHPDOCX"/>
            <w:b/>
            <w:bCs/>
            <w:i/>
            <w:iCs/>
            <w:color w:val="0000FF"/>
            <w:sz w:val="20"/>
            <w:szCs w:val="20"/>
            <w:u w:val="none"/>
          </w:rPr>
          <w:t xml:space="preserve">"Moteurs KDI à injection mécanique non certifiés (pas de moteurs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 d'alimentation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33391" name="name4824677bcfc69e7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13677bcfc69e7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w:t>
            </w:r>
            <w:r>
              <w:rPr>
                <w:b/>
                <w:bCs/>
                <w:color w:val="00274C"/>
                <w:position w:val="-2"/>
                <w:sz w:val="20"/>
                <w:szCs w:val="20"/>
                <w:u w:val="none"/>
              </w:rPr>
              <w:t xml:space="preserve">1</w:t>
            </w:r>
            <w:r>
              <w:rPr>
                <w:color w:val="00274C"/>
                <w:position w:val="-2"/>
                <w:sz w:val="20"/>
                <w:szCs w:val="20"/>
                <w:u w:val="none"/>
              </w:rPr>
              <w:t xml:space="preserve">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du réservoir à la 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d'injection haute pression, de la pompe à injection aux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w:t>
                  </w:r>
                </w:p>
              </w:tc>
            </w:tr>
          </w:tbl>
          <w:p/>
        </w:tc>
        <w:tc>
          <w:tcPr>
            <w:tcW w:w="0" w:type="auto"/>
            <w:tcMar>
              <w:top w:w="150" w:type="dxa"/>
              <w:left w:w="150" w:type="dxa"/>
              <w:bottom w:w="150" w:type="dxa"/>
              <w:right w:w="150" w:type="dxa"/>
            </w:tcMar>
            <w:vAlign w:val="top"/>
          </w:tcPr>
          <w:p>
            <w:r>
              <w:rPr>
                <w:position w:val="-304"/>
              </w:rPr>
              <w:drawing>
                <wp:inline distT="0" distB="0" distL="0" distR="0">
                  <wp:extent cx="2880000" cy="1972800"/>
                  <wp:effectExtent b="0" l="0" r="0" t="0"/>
                  <wp:docPr id="13976439" name="name2894677bcfc6b54f7"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3369677bcfc6b54f2" cstate="print"/>
                          <a:stretch>
                            <a:fillRect/>
                          </a:stretch>
                        </pic:blipFill>
                        <pic:spPr>
                          <a:xfrm>
                            <a:off x="0" y="0"/>
                            <a:ext cx="2880000" cy="19728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br/>
              <w:t xml:space="preserve">Le circuit de retour de carburant est à basse pression.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d’évacuation du carburant des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au réservoir</w:t>
                  </w:r>
                </w:p>
              </w:tc>
            </w:tr>
          </w:tbl>
          <w:p/>
        </w:tc>
        <w:tc>
          <w:tcPr>
            <w:tcW w:w="0" w:type="auto"/>
            <w:tcMar>
              <w:top w:w="150" w:type="dxa"/>
              <w:left w:w="150" w:type="dxa"/>
              <w:bottom w:w="150" w:type="dxa"/>
              <w:right w:w="150" w:type="dxa"/>
            </w:tcMar>
            <w:vAlign w:val="top"/>
          </w:tcPr>
          <w:p>
            <w:r>
              <w:rPr>
                <w:position w:val="-412"/>
              </w:rPr>
              <w:drawing>
                <wp:inline distT="0" distB="0" distL="0" distR="0">
                  <wp:extent cx="2880000" cy="2635200"/>
                  <wp:effectExtent b="0" l="0" r="0" t="0"/>
                  <wp:docPr id="49445083" name="name9339677bcfc6c4ca1"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2732677bcfc6c4c9c" cstate="print"/>
                          <a:stretch>
                            <a:fillRect/>
                          </a:stretch>
                        </pic:blipFill>
                        <pic:spPr>
                          <a:xfrm>
                            <a:off x="0" y="0"/>
                            <a:ext cx="2880000" cy="26352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Pompe à injection</w:t>
            </w:r>
          </w:p>
          <w:p>
            <w:pPr>
              <w:widowControl w:val="on"/>
              <w:pBdr/>
              <w:spacing w:before="0" w:after="0" w:line="262" w:lineRule="auto"/>
              <w:ind w:left="0" w:right="0"/>
              <w:jc w:val="left"/>
              <w:textAlignment w:val="center"/>
            </w:pPr>
            <w:r>
              <w:rPr>
                <w:color w:val="00274C"/>
                <w:position w:val="-2"/>
                <w:sz w:val="20"/>
                <w:szCs w:val="20"/>
                <w:u w:val="none"/>
              </w:rPr>
              <w:t xml:space="preserve">La pression à l'entrée de la pompe à injection doit être positive dans toutes les conditions de fonctionnement.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à injection est actionnée par l'engrenage de commande de la pompe et elle envoie le carburant à haute pression aux injecteurs.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En cas de fuite du circuit haute pression, ne pas intervenir avec le moteur en marche, mais l’éteindre et attendre 5 à 10 minutes avant 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Levier de l'accélérateur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minimum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maximum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de sortie du carburant en haute pression vers les injecteurs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d'évacuation du carburant vers le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d'aspiration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pour démarrage à froid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de l'anticipation des éléments de pompage (bloqué)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Étiquette d'identification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 de désaération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de blocage de l'arbre de commande de la pompe.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0748655" name="name9309677bcfc6d8df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025677bcfc6d8df2"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4085356" name="name3807677bcfc6e3497"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876677bcfc6e3493"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Injecteur</w:t>
            </w:r>
          </w:p>
          <w:p/>
          <w:p/>
          <w:p>
            <w:pPr>
              <w:widowControl w:val="on"/>
              <w:pBdr/>
              <w:spacing w:before="0" w:after="0" w:line="262" w:lineRule="auto"/>
              <w:ind w:left="0" w:right="0"/>
              <w:jc w:val="left"/>
              <w:textAlignment w:val="center"/>
            </w:pPr>
            <w:r>
              <w:rPr>
                <w:color w:val="00274C"/>
                <w:position w:val="-2"/>
                <w:sz w:val="20"/>
                <w:szCs w:val="20"/>
                <w:u w:val="none"/>
              </w:rPr>
              <w:t xml:space="preserve">C'est le dispositif utilisé pour introduire le combustible, sous forme d'un ou plusieurs jets, adéquatement pulvérisés et opportunément orientés, directement dans la chambre de combustion. Ils sont constitués d'un corps métallique avec, à l'intérieur, un élément mobile qui agit sur l'aiguille: celle-ci, en se soulevant contre l'action d'un ressort taré, permet la sortie du combustible sous haute pression.</w:t>
            </w:r>
          </w:p>
          <w:p/>
          <w:p/>
          <w:p>
            <w:pPr>
              <w:widowControl w:val="on"/>
              <w:pBdr/>
              <w:spacing w:before="0" w:after="0" w:line="262" w:lineRule="auto"/>
              <w:ind w:left="0" w:right="0"/>
              <w:jc w:val="left"/>
              <w:textAlignment w:val="center"/>
            </w:pPr>
            <w:r>
              <w:rPr>
                <w:b/>
                <w:bCs/>
                <w:color w:val="00274C"/>
                <w:position w:val="-2"/>
                <w:sz w:val="20"/>
                <w:szCs w:val="20"/>
                <w:u w:val="none"/>
              </w:rPr>
              <w:t xml:space="preserve">Pression d'ouverture :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916439" name="name8072677bcfc6eaa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0677bcfc6eaa9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Les injecteurs sont calibrés individuellement.</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 contamination du carburant provoque de graves dommages au système d'injection.</w:t>
            </w:r>
          </w:p>
          <w:p>
            <w:pPr>
              <w:widowControl w:val="on"/>
              <w:pBdr/>
              <w:spacing w:before="0" w:after="0" w:line="262" w:lineRule="auto"/>
              <w:ind w:left="0" w:right="0"/>
              <w:jc w:val="left"/>
              <w:textAlignment w:val="center"/>
            </w:pPr>
            <w:r>
              <w:rPr>
                <w:b/>
                <w:bCs/>
                <w:color w:val="00274C"/>
                <w:position w:val="-2"/>
                <w:sz w:val="20"/>
                <w:szCs w:val="20"/>
                <w:u w:val="none"/>
              </w:rP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d'évacuation</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86305281" name="name9957677bcfc706ab1"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2953677bcfc706aac"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Filtre à carburant</w:t>
            </w:r>
          </w:p>
          <w:p>
            <w:pPr>
              <w:widowControl w:val="on"/>
              <w:pBdr/>
              <w:spacing w:before="0" w:after="0" w:line="262" w:lineRule="auto"/>
              <w:ind w:left="0" w:right="0"/>
              <w:jc w:val="left"/>
              <w:textAlignment w:val="center"/>
            </w:pPr>
            <w:r>
              <w:rPr>
                <w:color w:val="00274C"/>
                <w:position w:val="-2"/>
                <w:sz w:val="20"/>
                <w:szCs w:val="20"/>
                <w:u w:val="none"/>
              </w:rPr>
              <w:t xml:space="preserve">Le filtre à carburant est monté sur le carter du moteur ou bien il est fourni avec le moteur pour être monté sur le châssis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cartouche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Vis de désaération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Dispositif de purge de 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de sortie de l'eau</w:t>
                  </w:r>
                </w:p>
              </w:tc>
            </w:tr>
          </w:tbl>
          <w:p/>
          <w:p/>
          <w:p/>
          <w:p>
            <w:pPr>
              <w:widowControl w:val="on"/>
              <w:pBdr/>
              <w:spacing w:before="0" w:after="0" w:line="240" w:lineRule="auto"/>
              <w:ind w:left="0" w:right="0"/>
              <w:jc w:val="left"/>
            </w:pPr>
            <w:r>
              <w:rPr>
                <w:b/>
                <w:bCs/>
                <w:color w:val="00274C"/>
                <w:position w:val="-2"/>
                <w:sz w:val="20"/>
                <w:szCs w:val="20"/>
                <w:u w:val="none"/>
              </w:rPr>
              <w:t xml:space="preserve">Tab 2.15</w:t>
            </w:r>
            <w:r>
              <w:rPr>
                <w:color w:val="00274C"/>
                <w:position w:val="-2"/>
                <w:sz w:val="20"/>
                <w:szCs w:val="20"/>
                <w:u w:val="none"/>
              </w:rPr>
              <w:t xml:space="preserve"> </w:t>
            </w:r>
            <w:r>
              <w:rPr>
                <w:i/>
                <w:iCs/>
                <w:color w:val="00274C"/>
                <w:position w:val="-2"/>
                <w:sz w:val="20"/>
                <w:szCs w:val="20"/>
                <w:u w:val="none"/>
              </w:rPr>
              <w:t xml:space="preserve">Caractéristiques de la cartouche.</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Bars</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28694493" name="name9046677bcfc717ccf"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7610677bcfc717ccb"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Pompe électrique carburant (option)</w:t>
            </w:r>
            <w:r>
              <w:rPr>
                <w:color w:val="00274C"/>
                <w:position w:val="-2"/>
                <w:sz w:val="20"/>
                <w:szCs w:val="20"/>
                <w:u w:val="none"/>
              </w:rPr>
              <w:br/>
              <w:t xml:space="preserve">Lors de l'installation de la pompe carburant électrique dans un moteur diesel, il faut:</w:t>
            </w:r>
          </w:p>
          <w:p>
            <w:pPr>
              <w:numPr>
                <w:ilvl w:val="0"/>
                <w:numId w:val="22452"/>
              </w:numPr>
              <w:spacing w:before="0" w:after="0" w:line="262" w:lineRule="auto"/>
              <w:jc w:val="left"/>
              <w:rPr>
                <w:color w:val="00274C"/>
                <w:sz w:val="20"/>
                <w:szCs w:val="20"/>
              </w:rPr>
            </w:pPr>
            <w:r>
              <w:rPr>
                <w:color w:val="00274C"/>
                <w:position w:val="-2"/>
                <w:sz w:val="20"/>
                <w:szCs w:val="20"/>
                <w:u w:val="none"/>
              </w:rPr>
              <w:t xml:space="preserve">Retirer d'éventuels filtres montés à l'entrée de la pompe carburant électrique;</w:t>
            </w:r>
          </w:p>
          <w:p>
            <w:pPr>
              <w:numPr>
                <w:ilvl w:val="0"/>
                <w:numId w:val="22452"/>
              </w:numPr>
              <w:spacing w:before="0" w:after="0" w:line="262" w:lineRule="auto"/>
              <w:jc w:val="left"/>
              <w:rPr>
                <w:color w:val="00274C"/>
                <w:sz w:val="20"/>
                <w:szCs w:val="20"/>
              </w:rPr>
            </w:pPr>
            <w:r>
              <w:rPr>
                <w:color w:val="00274C"/>
                <w:position w:val="-2"/>
                <w:sz w:val="20"/>
                <w:szCs w:val="20"/>
                <w:u w:val="none"/>
              </w:rPr>
              <w:t xml:space="preserve">Insérer un préfiltre entre le réservoir et la pompe électrique;</w:t>
            </w:r>
          </w:p>
          <w:p>
            <w:pPr>
              <w:numPr>
                <w:ilvl w:val="0"/>
                <w:numId w:val="22452"/>
              </w:numPr>
              <w:spacing w:before="0" w:after="0" w:line="262" w:lineRule="auto"/>
              <w:jc w:val="left"/>
              <w:rPr>
                <w:color w:val="00274C"/>
                <w:sz w:val="20"/>
                <w:szCs w:val="20"/>
              </w:rPr>
            </w:pPr>
            <w:r>
              <w:rPr>
                <w:color w:val="00274C"/>
                <w:position w:val="-2"/>
                <w:sz w:val="20"/>
                <w:szCs w:val="20"/>
                <w:u w:val="none"/>
              </w:rPr>
              <w:t xml:space="preserve">La pompe électrique doit être montée sur l'application à une certaine hauteur du niveau minimum du réservoir afin de générer une chute de pression </w:t>
            </w:r>
            <w:r>
              <w:rPr>
                <w:b/>
                <w:bCs/>
                <w:color w:val="00274C"/>
                <w:position w:val="-2"/>
                <w:sz w:val="20"/>
                <w:szCs w:val="20"/>
                <w:u w:val="none"/>
              </w:rPr>
              <w:t xml:space="preserve">MAX</w:t>
            </w:r>
            <w:r>
              <w:rPr>
                <w:color w:val="00274C"/>
                <w:position w:val="-2"/>
                <w:sz w:val="20"/>
                <w:szCs w:val="20"/>
                <w:u w:val="none"/>
              </w:rPr>
              <w:t xml:space="preserve"> . égale à une colonne de 500 mm de carburant</w:t>
            </w:r>
          </w:p>
          <w:p>
            <w:pPr>
              <w:numPr>
                <w:ilvl w:val="0"/>
                <w:numId w:val="22452"/>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d'aspiration.</w:t>
            </w:r>
          </w:p>
          <w:p>
            <w:pPr>
              <w:numPr>
                <w:ilvl w:val="0"/>
                <w:numId w:val="22452"/>
              </w:numPr>
              <w:spacing w:before="0" w:after="0" w:line="262" w:lineRule="auto"/>
              <w:jc w:val="left"/>
              <w:rPr>
                <w:color w:val="00274C"/>
                <w:sz w:val="20"/>
                <w:szCs w:val="20"/>
              </w:rPr>
            </w:pPr>
            <w:r>
              <w:rPr>
                <w:color w:val="00274C"/>
                <w:position w:val="-2"/>
                <w:sz w:val="20"/>
                <w:szCs w:val="20"/>
                <w:u w:val="none"/>
              </w:rPr>
              <w:t xml:space="preserve">La pompe électrique doit garantir une pression d'alimentation à l'entrée positive dans toutes les conditions de fonctionnement.</w:t>
            </w:r>
          </w:p>
          <w:p>
            <w:pPr>
              <w:widowControl w:val="on"/>
              <w:pBdr/>
              <w:spacing w:before="0" w:after="0" w:line="240" w:lineRule="auto"/>
              <w:ind w:left="0" w:right="0"/>
              <w:jc w:val="left"/>
            </w:pPr>
            <w:r>
              <w:rPr>
                <w:b/>
                <w:bCs/>
                <w:color w:val="00274C"/>
                <w:position w:val="-2"/>
                <w:sz w:val="20"/>
                <w:szCs w:val="20"/>
                <w:u w:val="none"/>
              </w:rP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pré-filtre à la 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98"/>
              </w:rPr>
              <w:drawing>
                <wp:inline distT="0" distB="0" distL="0" distR="0">
                  <wp:extent cx="2880000" cy="1929600"/>
                  <wp:effectExtent b="0" l="0" r="0" t="0"/>
                  <wp:docPr id="83378616" name="name5003677bcfc727ffe"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4579677bcfc727ffa" cstate="print"/>
                          <a:stretch>
                            <a:fillRect/>
                          </a:stretch>
                        </pic:blipFill>
                        <pic:spPr>
                          <a:xfrm>
                            <a:off x="0" y="0"/>
                            <a:ext cx="2880000" cy="19296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9725677bcfc729f8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2.11 et 2.12</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3123677bcfc72b4d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753069" name="name8533677bcfc730f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67677bcfc730f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97242093" name="name2478677bcfc73b9e5"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970677bcfc73b9e0"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16519376" name="name5120677bcfc747788"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7647677bcfc747784"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Tab 2.17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libre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w:t>
                  </w:r>
                  <w:bookmarkStart w:id="69592409" w:name="result_box"/>
                  <w:bookmarkEnd w:id="69592409"/>
                  <w:r>
                    <w:rPr>
                      <w:color w:val="00274C"/>
                      <w:position w:val="-2"/>
                      <w:sz w:val="20"/>
                      <w:szCs w:val="20"/>
                      <w:u w:val="none"/>
                      <w:shd w:val="clear" w:color="auto" w:fill="E1E2E0"/>
                    </w:rPr>
                    <w:t xml:space="preserve">sinistre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w:t>
                  </w:r>
                  <w:bookmarkStart w:id="59501794" w:name="result_box"/>
                  <w:bookmarkEnd w:id="59501794"/>
                  <w:r>
                    <w:rPr>
                      <w:color w:val="00274C"/>
                      <w:position w:val="-2"/>
                      <w:sz w:val="20"/>
                      <w:szCs w:val="20"/>
                      <w:u w:val="none"/>
                      <w:shd w:val="clear" w:color="auto" w:fill="E1E2E0"/>
                    </w:rPr>
                    <w:t xml:space="preserve">droit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w:t>
            </w:r>
            <w:bookmarkStart w:id="77205498" w:name="result_box"/>
            <w:bookmarkEnd w:id="77205498"/>
            <w:r>
              <w:rPr>
                <w:color w:val="00274C"/>
                <w:position w:val="-2"/>
                <w:sz w:val="20"/>
                <w:szCs w:val="20"/>
                <w:u w:val="none"/>
              </w:rPr>
              <w:t xml:space="preserve">optionnel</w:t>
            </w:r>
          </w:p>
        </w:tc>
        <w:tc>
          <w:tcPr>
            <w:tcW w:w="0" w:type="auto"/>
            <w:tcMar>
              <w:top w:w="150" w:type="dxa"/>
              <w:left w:w="150" w:type="dxa"/>
              <w:bottom w:w="150" w:type="dxa"/>
              <w:right w:w="150" w:type="dxa"/>
            </w:tcMar>
            <w:vAlign w:val="top"/>
          </w:tcPr>
          <w:p>
            <w:r>
              <w:rPr>
                <w:position w:val="-368"/>
              </w:rPr>
              <w:drawing>
                <wp:inline distT="0" distB="0" distL="0" distR="0">
                  <wp:extent cx="2232000" cy="2368800"/>
                  <wp:effectExtent b="0" l="0" r="0" t="0"/>
                  <wp:docPr id="7103859" name="name3835677bcfc75f044" descr="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2.jpg"/>
                          <pic:cNvPicPr/>
                        </pic:nvPicPr>
                        <pic:blipFill>
                          <a:blip r:embed="rId6144677bcfc75f03f" cstate="print"/>
                          <a:stretch>
                            <a:fillRect/>
                          </a:stretch>
                        </pic:blipFill>
                        <pic:spPr>
                          <a:xfrm>
                            <a:off x="0" y="0"/>
                            <a:ext cx="2232000" cy="2368800"/>
                          </a:xfrm>
                          <a:prstGeom prst="rect">
                            <a:avLst/>
                          </a:prstGeom>
                          <a:ln w="0">
                            <a:noFill/>
                          </a:ln>
                        </pic:spPr>
                      </pic:pic>
                    </a:graphicData>
                  </a:graphic>
                </wp:inline>
              </w:drawing>
            </w:r>
            <w:r>
              <w:rPr>
                <w:b/>
                <w:bCs/>
                <w:color w:val="00274C"/>
                <w:position w:val="0"/>
                <w:sz w:val="20"/>
                <w:szCs w:val="20"/>
                <w:u w:val="none"/>
              </w:rPr>
              <w:br/>
              <w:t xml:space="preserve">Fig 2.13</w:t>
            </w:r>
            <w:r>
              <w:rPr>
                <w:position w:val="-384"/>
              </w:rPr>
              <w:drawing>
                <wp:inline distT="0" distB="0" distL="0" distR="0">
                  <wp:extent cx="2232000" cy="2462400"/>
                  <wp:effectExtent b="0" l="0" r="0" t="0"/>
                  <wp:docPr id="94248701" name="name2212677bcfc76afae" descr="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3.jpg"/>
                          <pic:cNvPicPr/>
                        </pic:nvPicPr>
                        <pic:blipFill>
                          <a:blip r:embed="rId5580677bcfc76afa9" cstate="print"/>
                          <a:stretch>
                            <a:fillRect/>
                          </a:stretch>
                        </pic:blipFill>
                        <pic:spPr>
                          <a:xfrm>
                            <a:off x="0" y="0"/>
                            <a:ext cx="2232000" cy="2462400"/>
                          </a:xfrm>
                          <a:prstGeom prst="rect">
                            <a:avLst/>
                          </a:prstGeom>
                          <a:ln w="0">
                            <a:noFill/>
                          </a:ln>
                        </pic:spPr>
                      </pic:pic>
                    </a:graphicData>
                  </a:graphic>
                </wp:inline>
              </w:drawing>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789677bcfc76b95b" w:history="1">
              <w:r>
                <w:rPr>
                  <w:rStyle w:val="DefaultParagraphFontPHPDOCX"/>
                  <w:color w:val="0000FF"/>
                  <w:position w:val="0"/>
                  <w:sz w:val="20"/>
                  <w:szCs w:val="20"/>
                  <w:u w:val="single" w:color=""/>
                </w:rPr>
                <w:t xml:space="preserve">https://www.youtube.com/embed/gb6hxNuHPKU?rel=0</w:t>
              </w:r>
            </w:hyperlink>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r>
              <w:rPr>
                <w:color w:val="00274C"/>
                <w:position w:val="-2"/>
                <w:sz w:val="20"/>
                <w:szCs w:val="20"/>
                <w:u w:val="none"/>
              </w:rPr>
              <w:t xml:space="preserve"> Les rotors de la pompe à huile sont de type trochoïde (à lobes) et sont actionnés par le vilebrequin à travers des engrenages.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dessus le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de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4527217" name="name1781677bcfc77a413"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3072677bcfc77a40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941216" name="name2065677bcfc789125"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4835677bcfc78912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2.15</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2.10.3 Filtre à huile et Radiateur de Oli Cooler</w:t>
            </w:r>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570928" name="name2680677bcfc79d7c5"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4201677bcfc79d7c0" cstate="print"/>
                          <a:stretch>
                            <a:fillRect/>
                          </a:stretch>
                        </pic:blipFill>
                        <pic:spPr>
                          <a:xfrm>
                            <a:off x="0" y="0"/>
                            <a:ext cx="5544000" cy="36864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dévissant le couvercle porte-cartouche, l'huile contenue dans le support </w:t>
            </w:r>
            <w:r>
              <w:rPr>
                <w:b/>
                <w:bCs/>
                <w:color w:val="00274C"/>
                <w:position w:val="-2"/>
                <w:sz w:val="20"/>
                <w:szCs w:val="20"/>
                <w:u w:val="none"/>
              </w:rPr>
              <w:t xml:space="preserve">7</w:t>
            </w:r>
            <w:r>
              <w:rPr>
                <w:color w:val="00274C"/>
                <w:position w:val="-2"/>
                <w:sz w:val="20"/>
                <w:szCs w:val="20"/>
                <w:u w:val="none"/>
              </w:rPr>
              <w:t xml:space="preserve"> s'écoule vers le carter de l'huile à travers le conduit de décharge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vidange de l'huile (retour dans le carter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sortie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porte-cartouche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du conduit de décharge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de la chambre de filtrage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du couvercle porte-cartouche</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97138559" name="name6362677bcfc7b4b1d"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2819677bcfc7b4b18"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Schéma du circuit réfrigérant</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vidange du réfrigérant du carter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6"/>
                    </w:rPr>
                    <w:drawing>
                      <wp:inline distT="0" distB="0" distL="0" distR="0">
                        <wp:extent cx="2880000" cy="3038400"/>
                        <wp:effectExtent b="0" l="0" r="0" t="0"/>
                        <wp:docPr id="95187495" name="name6788677bcfc7c7433" descr="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jpg"/>
                                <pic:cNvPicPr/>
                              </pic:nvPicPr>
                              <pic:blipFill>
                                <a:blip r:embed="rId5533677bcfc7c742f" cstate="print"/>
                                <a:stretch>
                                  <a:fillRect/>
                                </a:stretch>
                              </pic:blipFill>
                              <pic:spPr>
                                <a:xfrm>
                                  <a:off x="0" y="0"/>
                                  <a:ext cx="2880000" cy="3038400"/>
                                </a:xfrm>
                                <a:prstGeom prst="rect">
                                  <a:avLst/>
                                </a:prstGeom>
                                <a:ln w="0">
                                  <a:noFill/>
                                </a:ln>
                              </pic:spPr>
                            </pic:pic>
                          </a:graphicData>
                        </a:graphic>
                      </wp:inline>
                    </w:drawing>
                  </w:r>
                  <w:r>
                    <w:rPr>
                      <w:b/>
                      <w:bCs/>
                      <w:color w:val="00274C"/>
                      <w:position w:val="0"/>
                      <w:sz w:val="20"/>
                      <w:szCs w:val="20"/>
                      <w:u w:val="none"/>
                    </w:rPr>
                    <w:br/>
                    <w:t xml:space="preserve">Fig 2.18</w:t>
                  </w:r>
                </w:p>
              </w:tc>
            </w:tr>
          </w:tbl>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166499" name="name2433677bcfc7d42d7"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3829677bcfc7d42d3" cstate="print"/>
                          <a:stretch>
                            <a:fillRect/>
                          </a:stretch>
                        </pic:blipFill>
                        <pic:spPr>
                          <a:xfrm>
                            <a:off x="0" y="0"/>
                            <a:ext cx="5544000" cy="3801600"/>
                          </a:xfrm>
                          <a:prstGeom prst="rect">
                            <a:avLst/>
                          </a:prstGeom>
                          <a:ln w="0">
                            <a:noFill/>
                          </a:ln>
                        </pic:spPr>
                      </pic:pic>
                    </a:graphicData>
                  </a:graphic>
                </wp:inline>
              </w:drawing>
            </w:r>
            <w:r>
              <w:rPr>
                <w:b/>
                <w:bCs/>
                <w:color w:val="00274C"/>
                <w:position w:val="-2"/>
                <w:sz w:val="20"/>
                <w:szCs w:val="20"/>
                <w:u w:val="none"/>
              </w:rPr>
              <w:b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Pompe à</w:t>
                  </w:r>
                  <w:r>
                    <w:rPr>
                      <w:color w:val="00274C"/>
                      <w:position w:val="-2"/>
                      <w:sz w:val="20"/>
                      <w:szCs w:val="20"/>
                      <w:u w:val="none"/>
                    </w:rPr>
                    <w:t xml:space="preserve"> </w:t>
                  </w:r>
                  <w:r>
                    <w:rPr>
                      <w:b/>
                      <w:bCs/>
                      <w:color w:val="00274C"/>
                      <w:position w:val="-2"/>
                      <w:sz w:val="20"/>
                      <w:szCs w:val="20"/>
                      <w:u w:val="none"/>
                    </w:rPr>
                    <w:t xml:space="preserve">réfrigérant</w:t>
                  </w:r>
                </w:p>
                <w:p>
                  <w:pPr>
                    <w:widowControl w:val="on"/>
                    <w:pBdr/>
                    <w:spacing w:before="0" w:after="0" w:line="262" w:lineRule="auto"/>
                    <w:ind w:left="0" w:right="0"/>
                    <w:jc w:val="left"/>
                    <w:textAlignment w:val="center"/>
                  </w:pPr>
                  <w:r>
                    <w:rPr>
                      <w:b/>
                      <w:bCs/>
                      <w:color w:val="00274C"/>
                      <w:position w:val="-2"/>
                      <w:sz w:val="20"/>
                      <w:szCs w:val="20"/>
                      <w:u w:val="none"/>
                    </w:rPr>
                    <w:b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7422347" name="name2408677bcfc7e2608"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4576677bcfc7e2604"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Soupape thermostatique</w:t>
                  </w:r>
                  <w:r>
                    <w:rPr>
                      <w:b/>
                      <w:bCs/>
                      <w:color w:val="00274C"/>
                      <w:position w:val="-2"/>
                      <w:sz w:val="20"/>
                      <w:szCs w:val="20"/>
                      <w:u w:val="none"/>
                    </w:rPr>
                    <w:br/>
                    <w:b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+83 °C (0/-3 °C).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8"/>
                    </w:rPr>
                    <w:drawing>
                      <wp:inline distT="0" distB="0" distL="0" distR="0">
                        <wp:extent cx="2232000" cy="1490400"/>
                        <wp:effectExtent b="0" l="0" r="0" t="0"/>
                        <wp:docPr id="19696668" name="name7514677bcfc7f2e87"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2977677bcfc7f2e83" cstate="print"/>
                                <a:stretch>
                                  <a:fillRect/>
                                </a:stretch>
                              </pic:blipFill>
                              <pic:spPr>
                                <a:xfrm>
                                  <a:off x="0" y="0"/>
                                  <a:ext cx="2232000" cy="149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2.21</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Radiateur (option)</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ravitaillement du liquide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du réfrigérant en excès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Ventilateur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Grille de protection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à air (du refroidisseur intermédiaire au collecteur d'admission - Fig. 2.23)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à l'intercooler (Fig. 2.23)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de l'air comprimé au collecteur d'admission (Fig. 2.22)</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REMARQUE :</w:t>
                  </w:r>
                  <w:r>
                    <w:rPr>
                      <w:color w:val="00274C"/>
                      <w:position w:val="-2"/>
                      <w:sz w:val="20"/>
                      <w:szCs w:val="20"/>
                      <w:u w:val="none"/>
                    </w:rPr>
                    <w:t xml:space="preserve"> La </w:t>
                  </w:r>
                  <w:r>
                    <w:rPr>
                      <w:b/>
                      <w:bCs/>
                      <w:color w:val="00274C"/>
                      <w:position w:val="-2"/>
                      <w:sz w:val="20"/>
                      <w:szCs w:val="20"/>
                      <w:u w:val="none"/>
                    </w:rPr>
                    <w:t xml:space="preserve">Fig. 2.22</w:t>
                  </w:r>
                  <w:r>
                    <w:rPr>
                      <w:color w:val="00274C"/>
                      <w:position w:val="-2"/>
                      <w:sz w:val="20"/>
                      <w:szCs w:val="20"/>
                      <w:u w:val="none"/>
                    </w:rPr>
                    <w:t xml:space="preserve"> représente le radiateur sans Intercooler (les différences sont dans la POS. 10).</w:t>
                  </w:r>
                  <w:r>
                    <w:rPr>
                      <w:color w:val="00274C"/>
                      <w:position w:val="-2"/>
                      <w:sz w:val="20"/>
                      <w:szCs w:val="20"/>
                      <w:u w:val="none"/>
                    </w:rPr>
                    <w:br/>
                    <w:t xml:space="preserve">La </w:t>
                  </w:r>
                  <w:r>
                    <w:rPr>
                      <w:b/>
                      <w:bCs/>
                      <w:color w:val="00274C"/>
                      <w:position w:val="-2"/>
                      <w:sz w:val="20"/>
                      <w:szCs w:val="20"/>
                      <w:u w:val="none"/>
                    </w:rPr>
                    <w:t xml:space="preserve">Fig. 2.23</w:t>
                  </w:r>
                  <w:r>
                    <w:rPr>
                      <w:color w:val="00274C"/>
                      <w:position w:val="-2"/>
                      <w:sz w:val="20"/>
                      <w:szCs w:val="20"/>
                      <w:u w:val="none"/>
                    </w:rPr>
                    <w:t xml:space="preserve"> représente le radiateur avec Intercooler (les différences sont dans la POS. 8 - 9). </w:t>
                  </w:r>
                  <w:r>
                    <w:rPr>
                      <w:color w:val="00274C"/>
                      <w:position w:val="-2"/>
                      <w:sz w:val="20"/>
                      <w:szCs w:val="20"/>
                      <w:u w:val="none"/>
                    </w:rPr>
                    <w:br/>
                    <w:br/>
                    <w:t xml:space="preserve">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127247" name="name7756677bcfc8100f0" descr="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4058677bcfc8100eb"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0"/>
                    </w:rPr>
                    <w:drawing>
                      <wp:inline distT="0" distB="0" distL="0" distR="0">
                        <wp:extent cx="5544000" cy="5796000"/>
                        <wp:effectExtent b="0" l="0" r="0" t="0"/>
                        <wp:docPr id="27920939" name="name6752677bcfc81ec4c" descr="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jpg"/>
                                <pic:cNvPicPr/>
                              </pic:nvPicPr>
                              <pic:blipFill>
                                <a:blip r:embed="rId3443677bcfc81ec47" cstate="print"/>
                                <a:stretch>
                                  <a:fillRect/>
                                </a:stretch>
                              </pic:blipFill>
                              <pic:spPr>
                                <a:xfrm>
                                  <a:off x="0" y="0"/>
                                  <a:ext cx="5544000" cy="579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2.23</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Schéma du circuit d'admission et d'échappement avec Intercooler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69536877" name="name1123677bcfc82e078" descr="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jpg"/>
                          <pic:cNvPicPr/>
                        </pic:nvPicPr>
                        <pic:blipFill>
                          <a:blip r:embed="rId2103677bcfc82e073" cstate="print"/>
                          <a:stretch>
                            <a:fillRect/>
                          </a:stretch>
                        </pic:blipFill>
                        <pic:spPr>
                          <a:xfrm>
                            <a:off x="0" y="0"/>
                            <a:ext cx="5544000" cy="4622400"/>
                          </a:xfrm>
                          <a:prstGeom prst="rect">
                            <a:avLst/>
                          </a:prstGeom>
                          <a:ln w="0">
                            <a:noFill/>
                          </a:ln>
                        </pic:spPr>
                      </pic:pic>
                    </a:graphicData>
                  </a:graphic>
                </wp:inline>
              </w:drawing>
            </w:r>
            <w:r>
              <w:rPr>
                <w:color w:val="00274C"/>
                <w:position w:val="-2"/>
                <w:sz w:val="20"/>
                <w:szCs w:val="20"/>
                <w:u w:val="none"/>
              </w:rPr>
              <w:br/>
              <w:t xml:space="preserve">  </w:t>
            </w:r>
            <w:r>
              <w:rPr>
                <w:b/>
                <w:bCs/>
                <w:color w:val="00274C"/>
                <w:position w:val="-2"/>
                <w:sz w:val="20"/>
                <w:szCs w:val="20"/>
                <w:u w:val="none"/>
              </w:rPr>
              <w:br/>
              <w:t xml:space="preserve">Fig 2.24</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406"/>
              </w:rPr>
              <w:drawing>
                <wp:inline distT="0" distB="0" distL="0" distR="0">
                  <wp:extent cx="5544000" cy="5126400"/>
                  <wp:effectExtent b="0" l="0" r="0" t="0"/>
                  <wp:docPr id="90858223" name="name7814677bcfc83a325" descr="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jpg"/>
                          <pic:cNvPicPr/>
                        </pic:nvPicPr>
                        <pic:blipFill>
                          <a:blip r:embed="rId2839677bcfc83a321" cstate="print"/>
                          <a:stretch>
                            <a:fillRect/>
                          </a:stretch>
                        </pic:blipFill>
                        <pic:spPr>
                          <a:xfrm>
                            <a:off x="0" y="0"/>
                            <a:ext cx="5544000" cy="51264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42821" name="name5395677bcfc8403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55677bcfc8403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w:t>
            </w:r>
          </w:p>
          <w:p/>
          <w:p/>
          <w:p>
            <w:pPr>
              <w:widowControl w:val="on"/>
              <w:pBdr/>
              <w:spacing w:before="0" w:after="0" w:line="240" w:lineRule="auto"/>
              <w:ind w:left="0" w:right="0"/>
              <w:jc w:val="left"/>
            </w:pPr>
            <w:r>
              <w:rPr>
                <w:color w:val="00274C"/>
                <w:position w:val="-2"/>
                <w:sz w:val="20"/>
                <w:szCs w:val="20"/>
                <w:u w:val="none"/>
              </w:rPr>
              <w:t xml:space="preserve">
L'air filtré est aspiré à travers le collecteur d'admission, puis, à travers les conduits de la culasse du moteur, il pénètre à l'intérieur des cylindres. Dans les cylindres, l'air comprimé est mélangé avec le carburant et, après la combustion, se transforme en gaz. Le gaz est expulsé par les cylindres et envoyé au collecteur d'échappement, qui évacue les gaz vers le pot d'échappement.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d'échappement depuis le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Radiateur/intercooler</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  Schéma du circuit d'admission et d'échappement sans Intercooler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d'échappement depuis le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5544000" cy="4622400"/>
                  <wp:effectExtent b="0" l="0" r="0" t="0"/>
                  <wp:docPr id="58282526" name="name5952677bcfc858bcd"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5999677bcfc858bc8"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Turbocompresseur</w:t>
            </w:r>
          </w:p>
          <w:p>
            <w:pPr>
              <w:widowControl w:val="on"/>
              <w:pBdr/>
              <w:spacing w:before="0" w:after="0" w:line="262" w:lineRule="auto"/>
              <w:ind w:left="0" w:right="0"/>
              <w:jc w:val="left"/>
              <w:textAlignment w:val="center"/>
            </w:pPr>
            <w:r>
              <w:rPr>
                <w:color w:val="00274C"/>
                <w:position w:val="-2"/>
                <w:sz w:val="20"/>
                <w:szCs w:val="20"/>
                <w:u w:val="none"/>
              </w:rPr>
              <w:br/>
              <w:t xml:space="preserve">Le turbocompresseur est commandé par l'intermédiaire des gaz d'échappement qui activent la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746481" name="name2416677bcfc85fe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35677bcfc85fe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Consulter au </w:t>
            </w:r>
            <w:hyperlink r:id="rId6654677bcfc86097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de compression de l'air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central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gaz d'échappement de commande de la turbine avec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commande du dispositif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Actionneur de commande de la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comprimé au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d'huile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d’huile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98"/>
              </w:rPr>
              <w:drawing>
                <wp:inline distT="0" distB="0" distL="0" distR="0">
                  <wp:extent cx="2880000" cy="3175200"/>
                  <wp:effectExtent b="0" l="0" r="0" t="0"/>
                  <wp:docPr id="57948982" name="name6647677bcfc875c5c"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623677bcfc875c57" cstate="print"/>
                          <a:stretch>
                            <a:fillRect/>
                          </a:stretch>
                        </pic:blipFill>
                        <pic:spPr>
                          <a:xfrm>
                            <a:off x="0" y="0"/>
                            <a:ext cx="2880000" cy="317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2.27</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2.12.4 Filtre à air (option)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98422" name="name6669677bcfc87d3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63677bcfc87d3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 filtre à air est du type à sec avec cartouche filtrante en papier H rechargeable (voir le </w:t>
            </w:r>
            <w:r>
              <w:rPr>
                <w:b/>
                <w:bCs/>
                <w:color w:val="00274C"/>
                <w:position w:val="-2"/>
                <w:sz w:val="20"/>
                <w:szCs w:val="20"/>
                <w:u w:val="none"/>
              </w:rPr>
              <w:t xml:space="preserve">Tab. 2.8 et le Tab. 2.9</w:t>
            </w:r>
            <w:r>
              <w:rPr>
                <w:color w:val="00274C"/>
                <w:position w:val="-2"/>
                <w:sz w:val="20"/>
                <w:szCs w:val="20"/>
                <w:u w:val="none"/>
              </w:rPr>
              <w:t xml:space="preserve"> pour la fréquence d’intervention sur les composants).</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et il doit être aussi rectiligne que possible.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4"/>
              </w:rPr>
              <w:drawing>
                <wp:inline distT="0" distB="0" distL="0" distR="0">
                  <wp:extent cx="2880000" cy="1166400"/>
                  <wp:effectExtent b="0" l="0" r="0" t="0"/>
                  <wp:docPr id="19620439" name="name2215677bcfc88cc84"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6878677bcfc88cc7f" cstate="print"/>
                          <a:stretch>
                            <a:fillRect/>
                          </a:stretch>
                        </pic:blipFill>
                        <pic:spPr>
                          <a:xfrm>
                            <a:off x="0" y="0"/>
                            <a:ext cx="2880000" cy="116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2.28</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2.12.5 EGR interne</w:t>
            </w:r>
          </w:p>
          <w:p/>
          <w:p>
            <w:pPr>
              <w:widowControl w:val="on"/>
              <w:pBdr/>
              <w:spacing w:before="0" w:after="0" w:line="262" w:lineRule="auto"/>
              <w:ind w:left="0" w:right="0"/>
              <w:jc w:val="left"/>
              <w:textAlignment w:val="center"/>
            </w:pPr>
            <w:r>
              <w:rPr>
                <w:color w:val="00274C"/>
                <w:position w:val="-2"/>
                <w:sz w:val="20"/>
                <w:szCs w:val="20"/>
                <w:u w:val="none"/>
              </w:rPr>
              <w:t xml:space="preserve">L' EGR interne est présent seulement pour les moteurs Stage IIIA ou Tier 3 pourvus d'homologation « </w:t>
            </w:r>
            <w:r>
              <w:rPr>
                <w:b/>
                <w:bCs/>
                <w:color w:val="00274C"/>
                <w:position w:val="-2"/>
                <w:sz w:val="20"/>
                <w:szCs w:val="20"/>
                <w:u w:val="none"/>
              </w:rPr>
              <w:t xml:space="preserve">CE</w:t>
            </w:r>
            <w:r>
              <w:rPr>
                <w:color w:val="00274C"/>
                <w:position w:val="-2"/>
                <w:sz w:val="20"/>
                <w:szCs w:val="20"/>
                <w:u w:val="none"/>
              </w:rPr>
              <w:t xml:space="preserve"> » ( </w:t>
            </w:r>
            <w:hyperlink r:id="rId9482677bcfc88dad7" w:history="1">
              <w:r>
                <w:rPr>
                  <w:rStyle w:val="DefaultParagraphFontPHPDOCX"/>
                  <w:b/>
                  <w:bCs/>
                  <w:color w:val="0000FF"/>
                  <w:position w:val="-2"/>
                  <w:sz w:val="20"/>
                  <w:szCs w:val="20"/>
                  <w:u w:val="single" w:color=""/>
                </w:rPr>
                <w:t xml:space="preserve">Par. 1.2</w:t>
              </w:r>
            </w:hyperlink>
            <w:r>
              <w:rPr>
                <w:color w:val="00274C"/>
                <w:position w:val="-2"/>
                <w:sz w:val="20"/>
                <w:szCs w:val="20"/>
                <w:u w:val="none"/>
              </w:rPr>
              <w:t xml:space="preserve"> ) ou plaque « </w:t>
            </w:r>
            <w:r>
              <w:rPr>
                <w:b/>
                <w:bCs/>
                <w:color w:val="00274C"/>
                <w:position w:val="-2"/>
                <w:sz w:val="20"/>
                <w:szCs w:val="20"/>
                <w:u w:val="none"/>
              </w:rPr>
              <w:t xml:space="preserve">EPA</w:t>
            </w:r>
            <w:r>
              <w:rPr>
                <w:color w:val="00274C"/>
                <w:position w:val="-2"/>
                <w:sz w:val="20"/>
                <w:szCs w:val="20"/>
                <w:u w:val="none"/>
              </w:rPr>
              <w:t xml:space="preserve"> » ( </w:t>
            </w:r>
            <w:hyperlink r:id="rId1665677bcfc88df3c" w:history="1">
              <w:r>
                <w:rPr>
                  <w:rStyle w:val="DefaultParagraphFontPHPDOCX"/>
                  <w:b/>
                  <w:bCs/>
                  <w:color w:val="0000FF"/>
                  <w:position w:val="-2"/>
                  <w:sz w:val="20"/>
                  <w:szCs w:val="20"/>
                  <w:u w:val="single" w:color=""/>
                </w:rPr>
                <w:t xml:space="preserve">Par. 1.3</w:t>
              </w:r>
            </w:hyperlink>
            <w:r>
              <w:rPr>
                <w:color w:val="00274C"/>
                <w:position w:val="-2"/>
                <w:sz w:val="20"/>
                <w:szCs w:val="20"/>
                <w:u w:val="none"/>
              </w:rPr>
              <w:t xml:space="preserve"> ). C'est un système qui permet de réduire les parties polluantes grâce à la recirculation des gaz d'échappement à travers leur réintroduction dans le cylindre lors de la phase d'aspiration.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 processus se fait en utilisant la came </w:t>
            </w:r>
            <w:r>
              <w:rPr>
                <w:b/>
                <w:bCs/>
                <w:color w:val="00274C"/>
                <w:position w:val="-2"/>
                <w:sz w:val="20"/>
                <w:szCs w:val="20"/>
                <w:u w:val="none"/>
              </w:rPr>
              <w:t xml:space="preserve">J</w:t>
            </w:r>
            <w:r>
              <w:rPr>
                <w:color w:val="00274C"/>
                <w:position w:val="-2"/>
                <w:sz w:val="20"/>
                <w:szCs w:val="20"/>
                <w:u w:val="none"/>
              </w:rPr>
              <w:t xml:space="preserve"> sur le profil de la came d'échappement </w:t>
            </w:r>
            <w:r>
              <w:rPr>
                <w:b/>
                <w:bCs/>
                <w:color w:val="00274C"/>
                <w:position w:val="-2"/>
                <w:sz w:val="20"/>
                <w:szCs w:val="20"/>
                <w:u w:val="none"/>
              </w:rPr>
              <w:t xml:space="preserve">K</w:t>
            </w:r>
            <w:r>
              <w:rPr>
                <w:color w:val="00274C"/>
                <w:position w:val="-2"/>
                <w:sz w:val="20"/>
                <w:szCs w:val="20"/>
                <w:u w:val="none"/>
              </w:rPr>
              <w:t xml:space="preserve"> de l'arbre à came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t xml:space="preserve">La came </w:t>
            </w:r>
            <w:r>
              <w:rPr>
                <w:b/>
                <w:bCs/>
                <w:color w:val="00274C"/>
                <w:position w:val="-2"/>
                <w:sz w:val="20"/>
                <w:szCs w:val="20"/>
                <w:u w:val="none"/>
              </w:rPr>
              <w:t xml:space="preserve">J</w:t>
            </w:r>
            <w:r>
              <w:rPr>
                <w:color w:val="00274C"/>
                <w:position w:val="-2"/>
                <w:sz w:val="20"/>
                <w:szCs w:val="20"/>
                <w:u w:val="none"/>
              </w:rPr>
              <w:t xml:space="preserve"> ouvre légèrement les soupapes d'échappement lors de l'ouverture des vannes d'aspiration.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56"/>
              </w:rPr>
              <w:drawing>
                <wp:inline distT="0" distB="0" distL="0" distR="0">
                  <wp:extent cx="2232000" cy="2916000"/>
                  <wp:effectExtent b="0" l="0" r="0" t="0"/>
                  <wp:docPr id="71665879" name="name9870677bcfc89ac40" descr="2.2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A.jpg"/>
                          <pic:cNvPicPr/>
                        </pic:nvPicPr>
                        <pic:blipFill>
                          <a:blip r:embed="rId7272677bcfc89ac3c" cstate="print"/>
                          <a:stretch>
                            <a:fillRect/>
                          </a:stretch>
                        </pic:blipFill>
                        <pic:spPr>
                          <a:xfrm>
                            <a:off x="0" y="0"/>
                            <a:ext cx="2232000" cy="29160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2.28 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Câblage électrique moteur (option)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câblage électrique est fourni sur demande, il est connecté au tableau par des connecteurs Deutsch à 19 voies (femelle sur le tableau du moteur - mâle sur le tableau des accessoires).</w:t>
                  </w:r>
                  <w:r>
                    <w:rPr>
                      <w:color w:val="00274C"/>
                      <w:position w:val="-2"/>
                      <w:sz w:val="20"/>
                      <w:szCs w:val="20"/>
                      <w:u w:val="none"/>
                    </w:rPr>
                    <w:br/>
                    <w:br/>
                    <w:t xml:space="preserve">Le </w:t>
                  </w:r>
                  <w:r>
                    <w:rPr>
                      <w:b/>
                      <w:bCs/>
                      <w:color w:val="00274C"/>
                      <w:position w:val="-2"/>
                      <w:sz w:val="20"/>
                      <w:szCs w:val="20"/>
                      <w:u w:val="none"/>
                    </w:rPr>
                    <w:t xml:space="preserve">Tab. 2.30</w:t>
                  </w:r>
                  <w:r>
                    <w:rPr>
                      <w:color w:val="00274C"/>
                      <w:position w:val="-2"/>
                      <w:sz w:val="20"/>
                      <w:szCs w:val="20"/>
                      <w:u w:val="none"/>
                    </w:rPr>
                    <w:t xml:space="preserve"> décrit les connecteurs.</w:t>
                  </w:r>
                </w:p>
                <w:p>
                  <w:pPr>
                    <w:widowControl w:val="on"/>
                    <w:pBdr/>
                    <w:spacing w:before="0" w:after="0" w:line="262" w:lineRule="auto"/>
                    <w:ind w:left="0" w:right="0"/>
                    <w:jc w:val="left"/>
                    <w:textAlignment w:val="center"/>
                  </w:pPr>
                  <w:r>
                    <w:rPr>
                      <w:position w:val="-172"/>
                    </w:rPr>
                    <w:drawing>
                      <wp:inline distT="0" distB="0" distL="0" distR="0">
                        <wp:extent cx="3600000" cy="2210400"/>
                        <wp:effectExtent b="0" l="0" r="0" t="0"/>
                        <wp:docPr id="12455022" name="name9904677bcfc8a738a"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4960677bcfc8a7385" cstate="print"/>
                                <a:stretch>
                                  <a:fillRect/>
                                </a:stretch>
                              </pic:blipFill>
                              <pic:spPr>
                                <a:xfrm>
                                  <a:off x="0" y="0"/>
                                  <a:ext cx="3600000" cy="221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br/>
                    <w:br/>
                    <w:br/>
                    <w:br/>
                    <w:br/>
                    <w:br/>
                    <w:br/>
                    <w:t xml:space="preserve">Fig 2.29</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Connecteur d'interface avec le tableau du moteur </w:t>
                        </w:r>
                        <w:r>
                          <w:rPr>
                            <w:b/>
                            <w:bCs/>
                            <w:color w:val="00274C"/>
                            <w:position w:val="-2"/>
                            <w:sz w:val="20"/>
                            <w:szCs w:val="20"/>
                            <w:u w:val="none"/>
                            <w:shd w:val="clear" w:color="auto" w:fill="E1E2E0"/>
                          </w:rPr>
                          <w:t xml:space="preserve">(Fig. 2.30)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avec le tableau des accessoires </w:t>
                        </w:r>
                        <w:r>
                          <w:rPr>
                            <w:b/>
                            <w:bCs/>
                            <w:color w:val="00274C"/>
                            <w:position w:val="-2"/>
                            <w:sz w:val="20"/>
                            <w:szCs w:val="20"/>
                            <w:u w:val="none"/>
                            <w:shd w:val="clear" w:color="auto" w:fill="E1E2E0"/>
                          </w:rPr>
                          <w:t xml:space="preserve">(Fig. 2.31)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pompe électrique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Cold Start Advance (sur pompe à injection - </w:t>
                        </w:r>
                        <w:r>
                          <w:rPr>
                            <w:b/>
                            <w:bCs/>
                            <w:color w:val="00274C"/>
                            <w:position w:val="-2"/>
                            <w:sz w:val="20"/>
                            <w:szCs w:val="20"/>
                            <w:u w:val="none"/>
                            <w:shd w:val="clear" w:color="auto" w:fill="E1E2E0"/>
                          </w:rPr>
                          <w:t xml:space="preserve">Fig. 2.46</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fusible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Contrôle Elettro-Stop (sur pompe à injection)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alternateur « L »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alternateur « W »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 + 50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 + 30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d'obstruction du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masse</w:t>
                        </w:r>
                      </w:p>
                    </w:tc>
                  </w:tr>
                </w:tbl>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Connecteur du tableau de bord moteur/machine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Le connecteur est du type Deutsch à 19 voies femelle. </w:t>
            </w:r>
            <w:r>
              <w:rPr>
                <w:b/>
                <w:bCs/>
                <w:color w:val="00274C"/>
                <w:position w:val="-2"/>
                <w:sz w:val="20"/>
                <w:szCs w:val="20"/>
                <w:u w:val="none"/>
              </w:rPr>
              <w:t xml:space="preserve">Le Tab. 2.31</w:t>
            </w:r>
            <w:r>
              <w:rPr>
                <w:color w:val="00274C"/>
                <w:position w:val="-2"/>
                <w:sz w:val="20"/>
                <w:szCs w:val="20"/>
                <w:u w:val="none"/>
              </w:rPr>
              <w:t xml:space="preserve"> énumère tous les raccordements avec les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49763013" name="name1880677bcfc8bde64"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638677bcfc8bde5f"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SIGNAUX À L'ENTRÉE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l'alternateur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d'obstruction du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Démarreur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SIGNAUX À LA SORTIE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IG excitation (+ 15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Démarreur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(relais)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Connecteur du tableau des accessoires</w:t>
            </w:r>
          </w:p>
          <w:p/>
          <w:p/>
          <w:p>
            <w:pPr>
              <w:widowControl w:val="on"/>
              <w:pBdr/>
              <w:spacing w:before="0" w:after="0" w:line="262" w:lineRule="auto"/>
              <w:ind w:left="0" w:right="0"/>
              <w:jc w:val="left"/>
              <w:textAlignment w:val="center"/>
            </w:pPr>
            <w:r>
              <w:rPr>
                <w:color w:val="00274C"/>
                <w:position w:val="-2"/>
                <w:sz w:val="20"/>
                <w:szCs w:val="20"/>
                <w:u w:val="none"/>
              </w:rPr>
              <w:br/>
              <w:t xml:space="preserve">Le connecteur est du type Deutsch à 19 voies mâle. Le </w:t>
            </w:r>
            <w:r>
              <w:rPr>
                <w:b/>
                <w:bCs/>
                <w:color w:val="00274C"/>
                <w:position w:val="-2"/>
                <w:sz w:val="20"/>
                <w:szCs w:val="20"/>
                <w:u w:val="none"/>
              </w:rPr>
              <w:t xml:space="preserve">Tab. 2.32</w:t>
            </w:r>
            <w:r>
              <w:rPr>
                <w:color w:val="00274C"/>
                <w:position w:val="-2"/>
                <w:sz w:val="20"/>
                <w:szCs w:val="20"/>
                <w:u w:val="none"/>
              </w:rPr>
              <w:t xml:space="preserve"> énumère tous les raccordements avec les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2066767" name="name6131677bcfc8d464b"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1162677bcfc8d4646"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2.31</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SIGNAUX À L'ENTRÉE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carburant (capteur de présence d'eau)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(capteur de niveau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de l'indicateur générique d'alarme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 (capteur de niveau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SIGNAUX À LA SORTIE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avec fusible 5 A (+ 15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(relais)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Témoin de température du réfrigérant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Débranchement du câblage</w:t>
            </w:r>
          </w:p>
          <w:p>
            <w:pPr>
              <w:widowControl w:val="on"/>
              <w:pBdr/>
              <w:spacing w:before="0" w:after="0" w:line="262" w:lineRule="auto"/>
              <w:ind w:left="0" w:right="0"/>
              <w:jc w:val="left"/>
              <w:textAlignment w:val="center"/>
            </w:pPr>
            <w:r>
              <w:rPr>
                <w:color w:val="00274C"/>
                <w:position w:val="-2"/>
                <w:sz w:val="20"/>
                <w:szCs w:val="20"/>
                <w:u w:val="none"/>
              </w:rPr>
              <w:t xml:space="preserve">Certains connecteurs des capteurs et des dispositifs à commande électronique sont étanches.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 type de  connecteurs doivent être débranchés en exerçant une pression sur les languettes A ou en débloquant les arrêts B, comme illustré de la  </w:t>
            </w:r>
            <w:r>
              <w:rPr>
                <w:b/>
                <w:bCs/>
                <w:color w:val="00274C"/>
                <w:position w:val="-2"/>
                <w:sz w:val="20"/>
                <w:szCs w:val="20"/>
                <w:u w:val="none"/>
              </w:rPr>
              <w:t xml:space="preserve">Fig. 2.32</w:t>
            </w:r>
            <w:r>
              <w:rPr>
                <w:color w:val="00274C"/>
                <w:position w:val="-2"/>
                <w:sz w:val="20"/>
                <w:szCs w:val="20"/>
                <w:u w:val="none"/>
              </w:rPr>
              <w:t xml:space="preserve"> </w:t>
            </w:r>
            <w:r>
              <w:rPr>
                <w:b/>
                <w:bCs/>
                <w:color w:val="00274C"/>
                <w:position w:val="-2"/>
                <w:sz w:val="20"/>
                <w:szCs w:val="20"/>
                <w:u w:val="none"/>
              </w:rPr>
              <w:t xml:space="preserve">Fig. 2.36.</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55411792" name="name6540677bcfc8e852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666677bcfc8e8527"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41566330" name="name1097677bcfc900ba3"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8555677bcfc900b9f"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2.33</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80540971" name="name2507677bcfc90ef75"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4162677bcfc90ef71"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2.34</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8156198" name="name2765677bcfc91e4e6"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6721677bcfc91e4e1"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2.35</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49766325" name="name5883677bcfc92b6f1"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2262677bcfc92b6ec"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2.36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Détecteur de présence d’eau dans le filtre carburant</w:t>
            </w:r>
            <w:r>
              <w:rPr>
                <w:color w:val="00274C"/>
                <w:position w:val="-2"/>
                <w:sz w:val="20"/>
                <w:szCs w:val="20"/>
                <w:u w:val="none"/>
              </w:rPr>
              <w:t xml:space="preserve"> </w:t>
            </w:r>
            <w:r>
              <w:rPr>
                <w:b/>
                <w:bCs/>
                <w:color w:val="00274C"/>
                <w:position w:val="-2"/>
                <w:sz w:val="20"/>
                <w:szCs w:val="20"/>
                <w:u w:val="none"/>
              </w:rPr>
              <w:t xml:space="preserve">(option)</w:t>
            </w:r>
            <w:r>
              <w:rPr>
                <w:color w:val="00274C"/>
                <w:position w:val="-2"/>
                <w:sz w:val="20"/>
                <w:szCs w:val="20"/>
                <w:u w:val="none"/>
              </w:rPr>
              <w:br/>
              <w:br/>
              <w:t xml:space="preserve">Le capteur de présence d’eau dans le filtre carburant sert à signaler la présence d’eau dans le carburant.</w:t>
            </w:r>
            <w:r>
              <w:rPr>
                <w:color w:val="00274C"/>
                <w:position w:val="-2"/>
                <w:sz w:val="20"/>
                <w:szCs w:val="20"/>
                <w:u w:val="none"/>
              </w:rPr>
              <w:br/>
              <w:br/>
              <w:t xml:space="preserve">Le capteur ferme le circuit à la masse en allumant la lampe témoin sur le tableau de bord de la machine où le moteur est monté.</w:t>
            </w:r>
            <w:r>
              <w:rPr>
                <w:color w:val="00274C"/>
                <w:position w:val="-2"/>
                <w:sz w:val="20"/>
                <w:szCs w:val="20"/>
                <w:u w:val="none"/>
              </w:rPr>
              <w:br/>
              <w:br/>
              <w:t xml:space="preserve">L’eau, éventuellement présente dans le carburant, se sépare et se dépose, à cause de son poids spécifique plus important, dans la partie la plus basse du filtre où il y a le bouchon de drainage de l’eau.</w:t>
            </w:r>
            <w:r>
              <w:rPr>
                <w:color w:val="00274C"/>
                <w:position w:val="-2"/>
                <w:sz w:val="20"/>
                <w:szCs w:val="20"/>
                <w:u w:val="none"/>
              </w:rPr>
              <w:br/>
              <w:br/>
              <w:t xml:space="preserve">Dévisser légèrement le bouchon de drainage sans le démonter; faire sortir l’eau s’il y en a.</w:t>
            </w:r>
            <w:r>
              <w:rPr>
                <w:color w:val="00274C"/>
                <w:position w:val="-2"/>
                <w:sz w:val="20"/>
                <w:szCs w:val="20"/>
                <w:u w:val="none"/>
              </w:rPr>
              <w:br/>
              <w:br/>
              <w:t xml:space="preserve">Revisser le bouchon de drainage de l’eau </w:t>
            </w:r>
            <w:r>
              <w:rPr>
                <w:b/>
                <w:bCs/>
                <w:color w:val="00274C"/>
                <w:position w:val="-2"/>
                <w:sz w:val="20"/>
                <w:szCs w:val="20"/>
                <w:u w:val="none"/>
              </w:rPr>
              <w:t xml:space="preserve">H</w:t>
            </w:r>
            <w:r>
              <w:rPr>
                <w:color w:val="00274C"/>
                <w:position w:val="-2"/>
                <w:sz w:val="20"/>
                <w:szCs w:val="20"/>
                <w:u w:val="none"/>
              </w:rPr>
              <w:t xml:space="preserve"> , dès que le carburant s’écoule au dehors.</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110247" name="name6717677bcfc93910a"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4577677bcfc93910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w:t>
            </w:r>
            <w:r>
              <w:rPr>
                <w:color w:val="00274C"/>
                <w:position w:val="-2"/>
                <w:sz w:val="20"/>
                <w:szCs w:val="20"/>
                <w:u w:val="none"/>
              </w:rPr>
              <w:t xml:space="preserve"> </w:t>
            </w:r>
            <w:r>
              <w:rPr>
                <w:b/>
                <w:bCs/>
                <w:color w:val="00274C"/>
                <w:position w:val="-2"/>
                <w:sz w:val="20"/>
                <w:szCs w:val="20"/>
                <w:u w:val="none"/>
              </w:rPr>
              <w:t xml:space="preserve">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pompe du injection.</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0273810" name="name4895677bcfc943fee"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669677bcfc943fe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w:t>
            </w:r>
            <w:r>
              <w:rPr>
                <w:color w:val="00274C"/>
                <w:position w:val="-2"/>
                <w:sz w:val="20"/>
                <w:szCs w:val="20"/>
                <w:u w:val="none"/>
              </w:rPr>
              <w:t xml:space="preserve"> </w:t>
            </w:r>
            <w:r>
              <w:rPr>
                <w:b/>
                <w:bCs/>
                <w:color w:val="00274C"/>
                <w:position w:val="-2"/>
                <w:sz w:val="20"/>
                <w:szCs w:val="20"/>
                <w:u w:val="none"/>
              </w:rPr>
              <w:t xml:space="preserve">Capteur de température du réfrigérant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a la double fonction de thermomètre et de thermocontact.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température du réfrigérant/thermocontact </w:t>
            </w:r>
            <w:r>
              <w:rPr>
                <w:b/>
                <w:bCs/>
                <w:color w:val="00274C"/>
                <w:position w:val="-2"/>
                <w:sz w:val="20"/>
                <w:szCs w:val="20"/>
                <w:u w:val="none"/>
              </w:rPr>
              <w:t xml:space="preserve">P</w:t>
            </w:r>
            <w:r>
              <w:rPr>
                <w:color w:val="00274C"/>
                <w:position w:val="-2"/>
                <w:sz w:val="20"/>
                <w:szCs w:val="20"/>
                <w:u w:val="none"/>
              </w:rPr>
              <w:t xml:space="preserve"> est fixé sur la culasse du moteur du côté de la vanne thermostatique.</w:t>
            </w:r>
            <w:r>
              <w:rPr>
                <w:color w:val="00274C"/>
                <w:position w:val="-2"/>
                <w:sz w:val="20"/>
                <w:szCs w:val="20"/>
                <w:u w:val="none"/>
              </w:rPr>
              <w:br/>
              <w:t xml:space="preserve">Sur le moteur, le capteur P1 ou P2 peut être monté </w:t>
            </w:r>
            <w:r>
              <w:rPr>
                <w:b/>
                <w:bCs/>
                <w:color w:val="00274C"/>
                <w:position w:val="-2"/>
                <w:sz w:val="20"/>
                <w:szCs w:val="20"/>
                <w:u w:val="none"/>
              </w:rPr>
              <w:t xml:space="preserve">(Fig. 2.39):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P1</w:t>
            </w:r>
            <w:r>
              <w:rPr>
                <w:color w:val="00274C"/>
                <w:position w:val="-2"/>
                <w:sz w:val="20"/>
                <w:szCs w:val="20"/>
                <w:u w:val="none"/>
              </w:rPr>
              <w:t xml:space="preserve"> Caractéristiques indiquées dans le </w:t>
            </w:r>
            <w:r>
              <w:rPr>
                <w:b/>
                <w:bCs/>
                <w:color w:val="00274C"/>
                <w:position w:val="-2"/>
                <w:sz w:val="20"/>
                <w:szCs w:val="20"/>
                <w:u w:val="none"/>
              </w:rPr>
              <w:t xml:space="preserve">Tab. 2.33A</w:t>
            </w:r>
            <w:r>
              <w:rPr>
                <w:color w:val="00274C"/>
                <w:position w:val="-2"/>
                <w:sz w:val="20"/>
                <w:szCs w:val="20"/>
                <w:u w:val="none"/>
              </w:rPr>
              <w:t xml:space="preserve"> (connecteur bleu).
</w:t>
            </w:r>
          </w:p>
          <w:p>
            <w:pPr>
              <w:widowControl w:val="on"/>
              <w:pBdr/>
              <w:spacing w:before="0" w:after="0" w:line="262" w:lineRule="auto"/>
              <w:ind w:left="0" w:right="0"/>
              <w:jc w:val="left"/>
              <w:textAlignment w:val="center"/>
            </w:pPr>
            <w:r>
              <w:rPr>
                <w:color w:val="00274C"/>
                <w:position w:val="-2"/>
                <w:sz w:val="20"/>
                <w:szCs w:val="20"/>
                <w:u w:val="none"/>
              </w:rPr>
              <w:t xml:space="preserve">Thermocontact N/O avec température de fermeture +110 °C ±3 °C, réouverture +88 °C / +100 °C.</w:t>
            </w:r>
            <w:r>
              <w:rPr>
                <w:b/>
                <w:bCs/>
                <w:color w:val="00274C"/>
                <w:position w:val="-2"/>
                <w:sz w:val="20"/>
                <w:szCs w:val="20"/>
                <w:u w:val="none"/>
              </w:rPr>
              <w:br/>
              <w:t xml:space="preserve">P2</w:t>
            </w:r>
            <w:r>
              <w:rPr>
                <w:color w:val="00274C"/>
                <w:position w:val="-2"/>
                <w:sz w:val="20"/>
                <w:szCs w:val="20"/>
                <w:u w:val="none"/>
              </w:rPr>
              <w:t xml:space="preserve"> Caractéristiques indiquées dans le </w:t>
            </w:r>
            <w:r>
              <w:rPr>
                <w:b/>
                <w:bCs/>
                <w:color w:val="00274C"/>
                <w:position w:val="-2"/>
                <w:sz w:val="20"/>
                <w:szCs w:val="20"/>
                <w:u w:val="none"/>
              </w:rPr>
              <w:t xml:space="preserve">Tab. 2.33B</w:t>
            </w:r>
            <w:r>
              <w:rPr>
                <w:color w:val="00274C"/>
                <w:position w:val="-2"/>
                <w:sz w:val="20"/>
                <w:szCs w:val="20"/>
                <w:u w:val="none"/>
              </w:rPr>
              <w:t xml:space="preserve"> (connecteur blanc).</w:t>
            </w:r>
          </w:p>
          <w:p>
            <w:pPr>
              <w:widowControl w:val="on"/>
              <w:pBdr/>
              <w:spacing w:before="0" w:after="0" w:line="262" w:lineRule="auto"/>
              <w:ind w:left="0" w:right="0"/>
              <w:jc w:val="left"/>
              <w:textAlignment w:val="center"/>
            </w:pPr>
            <w:r>
              <w:rPr>
                <w:color w:val="00274C"/>
                <w:position w:val="-2"/>
                <w:sz w:val="20"/>
                <w:szCs w:val="20"/>
                <w:u w:val="none"/>
              </w:rPr>
              <w:t xml:space="preserve">Thermocontact N/O avec température de fermeture +110 °C ±3 °C, réouverture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 DU CAPTEUR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 DU CAPTEUR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6107538" name="name4417677bcfc95c42a"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552677bcfc95c42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2.14.4 Interrupteur d'obstruction du filtre à air</w:t>
            </w:r>
            <w:r>
              <w:rPr>
                <w:b/>
                <w:bCs/>
                <w:color w:val="00274C"/>
                <w:position w:val="-2"/>
                <w:sz w:val="20"/>
                <w:szCs w:val="20"/>
                <w:u w:val="none"/>
              </w:rPr>
              <w:br/>
              <w:b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r>
              <w:rPr>
                <w:color w:val="00274C"/>
                <w:position w:val="-2"/>
                <w:sz w:val="20"/>
                <w:szCs w:val="20"/>
                <w:u w:val="none"/>
              </w:rPr>
              <w:br/>
              <w:br/>
              <w:t xml:space="preserve">L'interrupteur est monté sur le filtre à air ; quand le filtre est encrassé, il envoie le signal au tableau.</w:t>
            </w:r>
            <w:r>
              <w:rPr>
                <w:color w:val="00274C"/>
                <w:position w:val="-2"/>
                <w:sz w:val="20"/>
                <w:szCs w:val="20"/>
                <w:u w:val="none"/>
              </w:rPr>
              <w:br/>
              <w:br/>
              <w:br/>
              <w:br/>
              <w:t xml:space="preserve">Ses caractéristiques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Température d'exercice : -30 °C / +100 °C</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Fermeture du contact par dépression :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1311000" name="name1117677bcfc9674c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127677bcfc9674c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Ampère 90 A</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2044065" name="name2863677bcfc972b15"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2664677bcfc972b1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3215141" name="name4156677bcfc97dd5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213677bcfc97dd5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Dispositif de démarrage à froid (Heater)</w:t>
            </w:r>
          </w:p>
          <w:p>
            <w:pPr>
              <w:widowControl w:val="on"/>
              <w:pBdr/>
              <w:spacing w:before="0" w:after="0" w:line="262" w:lineRule="auto"/>
              <w:ind w:left="0" w:right="0"/>
              <w:jc w:val="left"/>
              <w:textAlignment w:val="center"/>
            </w:pPr>
            <w:r>
              <w:rPr>
                <w:color w:val="00274C"/>
                <w:position w:val="-2"/>
                <w:sz w:val="20"/>
                <w:szCs w:val="20"/>
                <w:u w:val="none"/>
              </w:rPr>
              <w:br/>
              <w:t xml:space="preserve">Le dispositif de démarrage à froid est constitué d'une résistance, gérée par la centrale préchauffage </w:t>
            </w:r>
            <w:r>
              <w:rPr>
                <w:b/>
                <w:bCs/>
                <w:color w:val="00274C"/>
                <w:position w:val="-2"/>
                <w:sz w:val="20"/>
                <w:szCs w:val="20"/>
                <w:u w:val="none"/>
              </w:rPr>
              <w:t xml:space="preserve">H</w:t>
            </w:r>
            <w:r>
              <w:rPr>
                <w:color w:val="00274C"/>
                <w:position w:val="-2"/>
                <w:sz w:val="20"/>
                <w:szCs w:val="20"/>
                <w:u w:val="none"/>
              </w:rPr>
              <w:t xml:space="preserve"> , qui est activée lorsque la température ambiante est ≤ -16°C.</w:t>
            </w:r>
            <w:r>
              <w:rPr>
                <w:color w:val="00274C"/>
                <w:position w:val="-2"/>
                <w:sz w:val="20"/>
                <w:szCs w:val="20"/>
                <w:u w:val="none"/>
              </w:rPr>
              <w:br/>
              <w:t xml:space="preserve">L'air admis se réchauffe à travers la résistance et facilite le démarrage du moteur.</w:t>
            </w:r>
          </w:p>
          <w:p>
            <w:pPr>
              <w:widowControl w:val="on"/>
              <w:pBdr/>
              <w:spacing w:before="0" w:after="0" w:line="262" w:lineRule="auto"/>
              <w:ind w:left="0" w:right="0"/>
              <w:jc w:val="left"/>
              <w:textAlignment w:val="center"/>
            </w:pPr>
            <w:r>
              <w:rPr>
                <w:color w:val="00274C"/>
                <w:position w:val="-2"/>
                <w:sz w:val="20"/>
                <w:szCs w:val="20"/>
                <w:u w:val="none"/>
              </w:rPr>
              <w:br/>
              <w:t xml:space="preserve">Caractéristiques:</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8112264" name="name7342677bcfc988ce6" descr="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jpg"/>
                          <pic:cNvPicPr/>
                        </pic:nvPicPr>
                        <pic:blipFill>
                          <a:blip r:embed="rId1367677bcfc988ce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w:t>
            </w:r>
            <w:r>
              <w:rPr>
                <w:color w:val="00274C"/>
                <w:position w:val="-2"/>
                <w:sz w:val="20"/>
                <w:szCs w:val="20"/>
                <w:u w:val="none"/>
              </w:rPr>
              <w:t xml:space="preserve"> </w:t>
            </w:r>
            <w:r>
              <w:rPr>
                <w:b/>
                <w:bCs/>
                <w:color w:val="00274C"/>
                <w:position w:val="-2"/>
                <w:sz w:val="20"/>
                <w:szCs w:val="20"/>
                <w:u w:val="none"/>
              </w:rPr>
              <w:t xml:space="preserve">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r>
              <w:rPr>
                <w:color w:val="00274C"/>
                <w:position w:val="-2"/>
                <w:sz w:val="20"/>
                <w:szCs w:val="20"/>
                <w:u w:val="none"/>
              </w:rPr>
              <w:br/>
              <w:t xml:space="preserve"> </w:t>
            </w:r>
            <w:r>
              <w:rPr>
                <w:color w:val="00274C"/>
                <w:position w:val="-2"/>
                <w:sz w:val="20"/>
                <w:szCs w:val="20"/>
                <w:u w:val="none"/>
              </w:rPr>
              <w:br/>
              <w:t xml:space="preserve"> La pompe électrique </w:t>
            </w:r>
            <w:r>
              <w:rPr>
                <w:b/>
                <w:bCs/>
                <w:color w:val="00274C"/>
                <w:position w:val="-2"/>
                <w:sz w:val="20"/>
                <w:szCs w:val="20"/>
                <w:u w:val="none"/>
              </w:rPr>
              <w:t xml:space="preserve">A</w:t>
            </w:r>
            <w:r>
              <w:rPr>
                <w:color w:val="00274C"/>
                <w:position w:val="-2"/>
                <w:sz w:val="20"/>
                <w:szCs w:val="20"/>
                <w:u w:val="none"/>
              </w:rPr>
              <w:t xml:space="preserve"> est située avant le filtre à carburant.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Caractéristiques:</w:t>
            </w:r>
          </w:p>
          <w:p>
            <w:pPr>
              <w:numPr>
                <w:ilvl w:val="0"/>
                <w:numId w:val="22450"/>
              </w:numPr>
              <w:spacing w:before="0" w:after="0" w:line="262" w:lineRule="auto"/>
              <w:jc w:val="left"/>
              <w:rPr>
                <w:color w:val="00274C"/>
                <w:sz w:val="20"/>
                <w:szCs w:val="20"/>
              </w:rPr>
            </w:pPr>
            <w:r>
              <w:rPr>
                <w:color w:val="00274C"/>
                <w:position w:val="-2"/>
                <w:sz w:val="20"/>
                <w:szCs w:val="20"/>
                <w:u w:val="none"/>
              </w:rPr>
              <w:br/>
              <w:t xml:space="preserve">Débit: 60.56 L/h @ 0.41 bar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Volt: 12 V</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38"/>
              </w:rPr>
              <w:drawing>
                <wp:inline distT="0" distB="0" distL="0" distR="0">
                  <wp:extent cx="2880000" cy="936000"/>
                  <wp:effectExtent b="0" l="0" r="0" t="0"/>
                  <wp:docPr id="94073938" name="name7844677bcfc99612b"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3360677bcfc996127" cstate="print"/>
                          <a:stretch>
                            <a:fillRect/>
                          </a:stretch>
                        </pic:blipFill>
                        <pic:spPr>
                          <a:xfrm>
                            <a:off x="0" y="0"/>
                            <a:ext cx="2880000" cy="93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p/>
          <w:p/>
          <w:p/>
          <w:p/>
          <w:p>
            <w:pPr>
              <w:widowControl w:val="on"/>
              <w:pBdr/>
              <w:spacing w:before="0" w:after="0" w:line="262" w:lineRule="auto"/>
              <w:ind w:left="0" w:right="0"/>
              <w:jc w:val="left"/>
              <w:textAlignment w:val="top"/>
            </w:pPr>
            <w:r>
              <w:rPr>
                <w:b/>
                <w:bCs/>
                <w:color w:val="00274C"/>
                <w:position w:val="0"/>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au filtre à carburant</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r>
              <w:rPr>
                <w:color w:val="00274C"/>
                <w:position w:val="-2"/>
                <w:sz w:val="20"/>
                <w:szCs w:val="20"/>
                <w:u w:val="none"/>
              </w:rPr>
              <w:t xml:space="preserve"> </w:t>
            </w:r>
            <w:r>
              <w:rPr>
                <w:b/>
                <w:bCs/>
                <w:color w:val="00274C"/>
                <w:position w:val="-2"/>
                <w:sz w:val="20"/>
                <w:szCs w:val="20"/>
                <w:u w:val="none"/>
              </w:rPr>
              <w:t xml:space="preserve"> (CSA)</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dispositif Cold Start Advance </w:t>
            </w:r>
            <w:r>
              <w:rPr>
                <w:b/>
                <w:bCs/>
                <w:color w:val="00274C"/>
                <w:position w:val="-2"/>
                <w:sz w:val="20"/>
                <w:szCs w:val="20"/>
                <w:u w:val="none"/>
              </w:rPr>
              <w:t xml:space="preserve">E</w:t>
            </w:r>
            <w:r>
              <w:rPr>
                <w:color w:val="00274C"/>
                <w:position w:val="-2"/>
                <w:sz w:val="20"/>
                <w:szCs w:val="20"/>
                <w:u w:val="none"/>
              </w:rPr>
              <w:t xml:space="preserve"> fait partie de la pompe à injection </w:t>
            </w:r>
            <w:r>
              <w:rPr>
                <w:b/>
                <w:bCs/>
                <w:color w:val="00274C"/>
                <w:position w:val="-2"/>
                <w:sz w:val="20"/>
                <w:szCs w:val="20"/>
                <w:u w:val="none"/>
              </w:rPr>
              <w:t xml:space="preserve">D</w:t>
            </w:r>
            <w:r>
              <w:rPr>
                <w:color w:val="00274C"/>
                <w:position w:val="-2"/>
                <w:sz w:val="20"/>
                <w:szCs w:val="20"/>
                <w:u w:val="none"/>
              </w:rPr>
              <w:t xml:space="preserve"> , il pourvoit à la modification d'avance de l'injection pour faciliter le démarrage du moteur à basse température. </w:t>
            </w:r>
          </w:p>
          <w:p>
            <w:pPr>
              <w:widowControl w:val="on"/>
              <w:pBdr/>
              <w:spacing w:before="0" w:after="0" w:line="262" w:lineRule="auto"/>
              <w:ind w:left="0" w:right="0"/>
              <w:jc w:val="left"/>
              <w:textAlignment w:val="center"/>
            </w:pPr>
            <w:r>
              <w:rPr>
                <w:b/>
                <w:bCs/>
                <w:color w:val="00274C"/>
                <w:position w:val="-2"/>
                <w:sz w:val="20"/>
                <w:szCs w:val="20"/>
                <w:u w:val="none"/>
              </w:rPr>
              <w:br/>
              <w:br/>
              <w:br/>
              <w:br/>
              <w:br/>
              <w:t xml:space="preserve">2.15.6 Elettro-Stop</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dispositif elettro-stop </w:t>
            </w:r>
            <w:r>
              <w:rPr>
                <w:b/>
                <w:bCs/>
                <w:color w:val="00274C"/>
                <w:position w:val="-2"/>
                <w:sz w:val="20"/>
                <w:szCs w:val="20"/>
                <w:u w:val="none"/>
              </w:rPr>
              <w:t xml:space="preserve">F</w:t>
            </w:r>
            <w:r>
              <w:rPr>
                <w:color w:val="00274C"/>
                <w:position w:val="-2"/>
                <w:sz w:val="20"/>
                <w:szCs w:val="20"/>
                <w:u w:val="none"/>
              </w:rPr>
              <w:t xml:space="preserve"> fait partie de la pompe à injection </w:t>
            </w:r>
            <w:r>
              <w:rPr>
                <w:b/>
                <w:bCs/>
                <w:color w:val="00274C"/>
                <w:position w:val="-2"/>
                <w:sz w:val="20"/>
                <w:szCs w:val="20"/>
                <w:u w:val="none"/>
              </w:rPr>
              <w:t xml:space="preserve">D</w:t>
            </w:r>
            <w:r>
              <w:rPr>
                <w:color w:val="00274C"/>
                <w:position w:val="-2"/>
                <w:sz w:val="20"/>
                <w:szCs w:val="20"/>
                <w:u w:val="none"/>
              </w:rPr>
              <w:t xml:space="preserve"> , il pourvoit à l'extinction du moteur en bloquant le débit de carburant à l'entrée de la pompe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98"/>
              </w:rPr>
              <w:drawing>
                <wp:inline distT="0" distB="0" distL="0" distR="0">
                  <wp:extent cx="2880000" cy="1929600"/>
                  <wp:effectExtent b="0" l="0" r="0" t="0"/>
                  <wp:docPr id="39936909" name="name8428677bcfc9a7d08"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5844677bcfc9a7d04" cstate="print"/>
                          <a:stretch>
                            <a:fillRect/>
                          </a:stretch>
                        </pic:blipFill>
                        <pic:spPr>
                          <a:xfrm>
                            <a:off x="0" y="0"/>
                            <a:ext cx="2880000" cy="1929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Relais démarrage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dispositif </w:t>
            </w:r>
            <w:r>
              <w:rPr>
                <w:b/>
                <w:bCs/>
                <w:color w:val="00274C"/>
                <w:position w:val="-2"/>
                <w:sz w:val="20"/>
                <w:szCs w:val="20"/>
                <w:u w:val="none"/>
              </w:rPr>
              <w:t xml:space="preserve">H</w:t>
            </w:r>
            <w:r>
              <w:rPr>
                <w:color w:val="00274C"/>
                <w:position w:val="-2"/>
                <w:sz w:val="20"/>
                <w:szCs w:val="20"/>
                <w:u w:val="none"/>
              </w:rPr>
              <w:t xml:space="preserve"> favorise l'allumage du moteur à froid, en commandant le « dispositif allumage à froid » ( </w:t>
            </w:r>
            <w:r>
              <w:rPr>
                <w:b/>
                <w:bCs/>
                <w:color w:val="00274C"/>
                <w:position w:val="-2"/>
                <w:sz w:val="20"/>
                <w:szCs w:val="20"/>
                <w:u w:val="none"/>
              </w:rPr>
              <w:t xml:space="preserve">Heater</w:t>
            </w:r>
            <w:r>
              <w:rPr>
                <w:color w:val="00274C"/>
                <w:position w:val="-2"/>
                <w:sz w:val="20"/>
                <w:szCs w:val="20"/>
                <w:u w:val="none"/>
              </w:rPr>
              <w:t xml:space="preserve"> ) et le dispositif « Cold Start Advance » (CSA). Le </w:t>
            </w:r>
            <w:r>
              <w:rPr>
                <w:b/>
                <w:bCs/>
                <w:color w:val="00274C"/>
                <w:position w:val="-2"/>
                <w:sz w:val="20"/>
                <w:szCs w:val="20"/>
                <w:u w:val="none"/>
              </w:rPr>
              <w:t xml:space="preserve">Tab. 2.39</w:t>
            </w:r>
            <w:r>
              <w:rPr>
                <w:color w:val="00274C"/>
                <w:position w:val="-2"/>
                <w:sz w:val="20"/>
                <w:szCs w:val="20"/>
                <w:u w:val="none"/>
              </w:rPr>
              <w:t xml:space="preserve"> indique les temps d'activation en fonction de la température ambiante.
</w:t>
            </w:r>
          </w:p>
          <w:p>
            <w:pPr>
              <w:widowControl w:val="on"/>
              <w:pBdr/>
              <w:spacing w:before="0" w:after="0" w:line="262" w:lineRule="auto"/>
              <w:ind w:left="0" w:right="0"/>
              <w:jc w:val="left"/>
              <w:textAlignment w:val="center"/>
            </w:pPr>
            <w:r>
              <w:rPr>
                <w:color w:val="00274C"/>
                <w:position w:val="-2"/>
                <w:sz w:val="20"/>
                <w:szCs w:val="20"/>
                <w:u w:val="none"/>
              </w:rPr>
              <w:t xml:space="preserve">Repérer le code dans le catalogue des pièces de rechange ( </w:t>
            </w:r>
            <w:hyperlink r:id="rId1091677bcfc9a97bb" w:history="1">
              <w:r>
                <w:rPr>
                  <w:rStyle w:val="DefaultParagraphFontPHPDOCX"/>
                  <w:color w:val="0000FF"/>
                  <w:position w:val="-2"/>
                  <w:sz w:val="20"/>
                  <w:szCs w:val="20"/>
                  <w:u w:val="single" w:color=""/>
                </w:rPr>
                <w:t xml:space="preserve">https://partners.lombardini.it/App/SparepartCatalogue_2.0/Default/Catalogue.aspx</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2.39a - code ED0021934440-S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(Préchauffage)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(Post-chauffage)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2.39b - code ED0021936660-S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(Préchauffage)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(Post-chauffage)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2.39c - code ED0021939560-S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(Préchauffage)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Heater (Post-chauffage)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CSA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Delay (Retard envoi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&gt; 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b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
                <w:p/>
                <w:p/>
                <w:p/>
                <w:p/>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 0</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 ÷ 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 -9</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 -14</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br/>
                    <w:t xml:space="preserve">8"</w:t>
                  </w:r>
                </w:p>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t>
                  </w:r>
                </w:p>
                <w:p/>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1229791" name="name6678677bcfc9c5732" descr="2_1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7.png"/>
                          <pic:cNvPicPr/>
                        </pic:nvPicPr>
                        <pic:blipFill>
                          <a:blip r:embed="rId4853677bcfc9c572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
          <w:p>
            <w:pPr>
              <w:widowControl w:val="on"/>
              <w:pBdr/>
              <w:spacing w:before="0" w:after="0" w:line="262" w:lineRule="auto"/>
              <w:ind w:left="0" w:right="0"/>
              <w:jc w:val="left"/>
              <w:textAlignment w:val="top"/>
            </w:pPr>
            <w:r>
              <w:rPr>
                <w:b/>
                <w:bCs/>
                <w:color w:val="00274C"/>
                <w:position w:val="0"/>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RACCORDE A</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allumage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sur tableau de commande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 allumage</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Fusible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dispositif </w:t>
            </w:r>
            <w:r>
              <w:rPr>
                <w:b/>
                <w:bCs/>
                <w:color w:val="00274C"/>
                <w:position w:val="-2"/>
                <w:sz w:val="20"/>
                <w:szCs w:val="20"/>
                <w:u w:val="none"/>
              </w:rPr>
              <w:t xml:space="preserve">G</w:t>
            </w:r>
            <w:r>
              <w:rPr>
                <w:color w:val="00274C"/>
                <w:position w:val="-2"/>
                <w:sz w:val="20"/>
                <w:szCs w:val="20"/>
                <w:u w:val="none"/>
              </w:rPr>
              <w:t xml:space="preserve"> est monté sur la culasse </w:t>
            </w:r>
            <w:r>
              <w:rPr>
                <w:b/>
                <w:bCs/>
                <w:color w:val="00274C"/>
                <w:position w:val="-2"/>
                <w:sz w:val="20"/>
                <w:szCs w:val="20"/>
                <w:u w:val="none"/>
              </w:rPr>
              <w:t xml:space="preserve">P</w:t>
            </w:r>
            <w:r>
              <w:rPr>
                <w:color w:val="00274C"/>
                <w:position w:val="-2"/>
                <w:sz w:val="20"/>
                <w:szCs w:val="20"/>
                <w:u w:val="none"/>
              </w:rPr>
              <w:t xml:space="preserve"> (côté volant), il pourvoit à la protection du circuit électrique en cas de surcharge ou de court-circuit.</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00"/>
              </w:rPr>
              <w:drawing>
                <wp:inline distT="0" distB="0" distL="0" distR="0">
                  <wp:extent cx="2232000" cy="1324800"/>
                  <wp:effectExtent b="0" l="0" r="0" t="0"/>
                  <wp:docPr id="65628494" name="name9858677bcfc9d515e"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2637677bcfc9d5159" cstate="print"/>
                          <a:stretch>
                            <a:fillRect/>
                          </a:stretch>
                        </pic:blipFill>
                        <pic:spPr>
                          <a:xfrm>
                            <a:off x="0" y="0"/>
                            <a:ext cx="2232000" cy="132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Tableau de commande (option)</w:t>
            </w:r>
          </w:p>
          <w:p/>
          <w:p/>
          <w:p>
            <w:pPr>
              <w:widowControl w:val="on"/>
              <w:pBdr/>
              <w:spacing w:before="0" w:after="0" w:line="262" w:lineRule="auto"/>
              <w:ind w:left="0" w:right="0"/>
              <w:jc w:val="left"/>
              <w:textAlignment w:val="center"/>
            </w:pPr>
            <w:r>
              <w:rPr>
                <w:color w:val="00274C"/>
                <w:position w:val="-2"/>
                <w:sz w:val="20"/>
                <w:szCs w:val="20"/>
                <w:u w:val="none"/>
              </w:rPr>
              <w:br/>
              <w:t xml:space="preserve">Le tableau </w:t>
            </w:r>
            <w:r>
              <w:rPr>
                <w:b/>
                <w:bCs/>
                <w:color w:val="00274C"/>
                <w:position w:val="-2"/>
                <w:sz w:val="20"/>
                <w:szCs w:val="20"/>
                <w:u w:val="none"/>
              </w:rPr>
              <w:t xml:space="preserve">L</w:t>
            </w:r>
            <w:r>
              <w:rPr>
                <w:color w:val="00274C"/>
                <w:position w:val="-2"/>
                <w:sz w:val="20"/>
                <w:szCs w:val="20"/>
                <w:u w:val="none"/>
              </w:rPr>
              <w:t xml:space="preserve"> peut être monté sur le moteur ou sur la machine.</w:t>
            </w:r>
            <w:r>
              <w:rPr>
                <w:color w:val="00274C"/>
                <w:position w:val="-2"/>
                <w:sz w:val="20"/>
                <w:szCs w:val="20"/>
                <w:u w:val="none"/>
              </w:rPr>
              <w:br/>
              <w:t xml:space="preserve">Le </w:t>
            </w:r>
            <w:r>
              <w:rPr>
                <w:b/>
                <w:bCs/>
                <w:color w:val="00274C"/>
                <w:position w:val="-2"/>
                <w:sz w:val="20"/>
                <w:szCs w:val="20"/>
                <w:u w:val="none"/>
              </w:rPr>
              <w:t xml:space="preserve">Tab. 2.41</w:t>
            </w:r>
            <w:r>
              <w:rPr>
                <w:color w:val="00274C"/>
                <w:position w:val="-2"/>
                <w:sz w:val="20"/>
                <w:szCs w:val="20"/>
                <w:u w:val="none"/>
              </w:rPr>
              <w:t xml:space="preserve"> illustre ses fonctions principales.</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Compteur 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commande de démarrage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Indicateur d'allumage du tableau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Warning Light - batterie pas en recharge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huile du moteur pas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température du réfrigérant élevée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indicateur générique d'alarme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34"/>
              </w:rPr>
              <w:drawing>
                <wp:inline distT="0" distB="0" distL="0" distR="0">
                  <wp:extent cx="2880000" cy="2152800"/>
                  <wp:effectExtent b="0" l="0" r="0" t="0"/>
                  <wp:docPr id="12138030" name="name5000677bcfc9e565b"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6819677bcfc9e5657" cstate="print"/>
                          <a:stretch>
                            <a:fillRect/>
                          </a:stretch>
                        </pic:blipFill>
                        <pic:spPr>
                          <a:xfrm>
                            <a:off x="0" y="0"/>
                            <a:ext cx="2880000" cy="2152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2.16.1 Identification des composants</w:t>
            </w:r>
            <w:r>
              <w:rPr>
                <w:position w:val="-232"/>
              </w:rPr>
              <w:drawing>
                <wp:inline distT="0" distB="0" distL="0" distR="0">
                  <wp:extent cx="5544000" cy="2966400"/>
                  <wp:effectExtent b="0" l="0" r="0" t="0"/>
                  <wp:docPr id="54615337" name="name3830677bcfc9f2859" descr="2.48_3404_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_3404_TM.jpg"/>
                          <pic:cNvPicPr/>
                        </pic:nvPicPr>
                        <pic:blipFill>
                          <a:blip r:embed="rId1821677bcfc9f2854" cstate="print"/>
                          <a:stretch>
                            <a:fillRect/>
                          </a:stretch>
                        </pic:blipFill>
                        <pic:spPr>
                          <a:xfrm>
                            <a:off x="0" y="0"/>
                            <a:ext cx="5544000" cy="29664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7578985" name="name7033677bcfca10ad3" descr="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jpg"/>
                          <pic:cNvPicPr/>
                        </pic:nvPicPr>
                        <pic:blipFill>
                          <a:blip r:embed="rId5665677bcfca10ac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2.50</w:t>
            </w:r>
            <w:r>
              <w:rPr>
                <w:position w:val="-228"/>
              </w:rPr>
              <w:drawing>
                <wp:inline distT="0" distB="0" distL="0" distR="0">
                  <wp:extent cx="2232000" cy="1490400"/>
                  <wp:effectExtent b="0" l="0" r="0" t="0"/>
                  <wp:docPr id="95401793" name="name4177677bcfca1b5cf" descr="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1.jpg"/>
                          <pic:cNvPicPr/>
                        </pic:nvPicPr>
                        <pic:blipFill>
                          <a:blip r:embed="rId5365677bcfca1b5c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Axe des culbuteurs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5187591" name="name2202677bcfca28934"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8893677bcfca2892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Culbuteurs</w:t>
            </w:r>
            <w:r>
              <w:rPr>
                <w:b/>
                <w:bCs/>
                <w:color w:val="00274C"/>
                <w:position w:val="-2"/>
                <w:sz w:val="20"/>
                <w:szCs w:val="20"/>
                <w:u w:val="none"/>
              </w:rPr>
              <w:br/>
              <w:br/>
              <w:t xml:space="preserve">Tab 2.45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141404" name="name1332677bcfca3962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958677bcfca3961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Poussoirs hydrauliques</w:t>
            </w:r>
            <w:r>
              <w:rPr>
                <w:b/>
                <w:bCs/>
                <w:color w:val="00274C"/>
                <w:position w:val="-2"/>
                <w:sz w:val="20"/>
                <w:szCs w:val="20"/>
                <w:u w:val="none"/>
              </w:rPr>
              <w:br/>
              <w:br/>
              <w:t xml:space="preserve">Tab 2.46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93713794" name="name6380677bcfca4d9ae"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954677bcfca4d9aa"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22453"/>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6271677bcfca4ef9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2453"/>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0576761" name="name4771677bcfca5bb74"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3462677bcfca5bb6f"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8081500" name="name1151677bcfca66846"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8649677bcfca6684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4777219" name="name7840677bcfca71c0d"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185677bcfca71c0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hyperlink r:id="rId6264677bcfca742d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hyperlink r:id="rId2834677bcfca74c66" w:history="1">
              <w:r>
                <w:rPr>
                  <w:rStyle w:val="DefaultParagraphFontPHPDOCX"/>
                  <w:b/>
                  <w:bCs/>
                  <w:color w:val="0000FF"/>
                  <w:position w:val="-2"/>
                  <w:sz w:val="20"/>
                  <w:szCs w:val="20"/>
                  <w:u w:val="none"/>
                </w:rPr>
                <w:t xml:space="preserve">Tab. 2.8 et 2.9</w:t>
              </w:r>
            </w:hyperlink>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 (Fig. 2.59)</w:t>
            </w:r>
            <w:r>
              <w:rPr>
                <w:color w:val="00274C"/>
                <w:position w:val="0"/>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22454"/>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22454"/>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22454"/>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22454"/>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22454"/>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6911135" name="name4196677bcfca82fd9"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4607677bcfca82fd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2.59</w:t>
            </w:r>
            <w:r>
              <w:rPr>
                <w:position w:val="-210"/>
              </w:rPr>
              <w:drawing>
                <wp:inline distT="0" distB="0" distL="0" distR="0">
                  <wp:extent cx="2232000" cy="1389600"/>
                  <wp:effectExtent b="0" l="0" r="0" t="0"/>
                  <wp:docPr id="55263963" name="name7422677bcfca8d44a"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391677bcfca8d445"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906601" name="name3743677bcfca933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65677bcfca933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hyperlink r:id="rId4789677bcfca9473f"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260265" name="name5000677bcfca9cda7"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475677bcfca9cda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numPr>
                <w:ilvl w:val="0"/>
                <w:numId w:val="22455"/>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22455"/>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424000" name="name2468677bcfcaaa93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187677bcfcaaa93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2456"/>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22456"/>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22456"/>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484043" name="name2724677bcfcac16fa"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477677bcfcac16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2457"/>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1322339" name="name6296677bcfcacbd0c"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2735677bcfcacbd0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Instructions pour l'installation</w:t>
            </w:r>
          </w:p>
          <w:p>
            <w:pPr>
              <w:numPr>
                <w:ilvl w:val="0"/>
                <w:numId w:val="22458"/>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720754" name="name4635677bcfcad886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152677bcfcad885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840414" name="name5007677bcfcadff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75677bcfcadff9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22450"/>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458">
    <w:multiLevelType w:val="hybridMultilevel"/>
    <w:lvl w:ilvl="0" w:tplc="29626891">
      <w:start w:val="1"/>
      <w:numFmt w:val="decimal"/>
      <w:lvlText w:val="%1."/>
      <w:lvlJc w:val="left"/>
      <w:pPr>
        <w:ind w:left="720" w:hanging="360"/>
      </w:pPr>
    </w:lvl>
    <w:lvl w:ilvl="1" w:tplc="29626891" w:tentative="1">
      <w:start w:val="1"/>
      <w:numFmt w:val="lowerLetter"/>
      <w:lvlText w:val="%2."/>
      <w:lvlJc w:val="left"/>
      <w:pPr>
        <w:ind w:left="1440" w:hanging="360"/>
      </w:pPr>
    </w:lvl>
    <w:lvl w:ilvl="2" w:tplc="29626891" w:tentative="1">
      <w:start w:val="1"/>
      <w:numFmt w:val="lowerRoman"/>
      <w:lvlText w:val="%3."/>
      <w:lvlJc w:val="right"/>
      <w:pPr>
        <w:ind w:left="2160" w:hanging="180"/>
      </w:pPr>
    </w:lvl>
    <w:lvl w:ilvl="3" w:tplc="29626891" w:tentative="1">
      <w:start w:val="1"/>
      <w:numFmt w:val="decimal"/>
      <w:lvlText w:val="%4."/>
      <w:lvlJc w:val="left"/>
      <w:pPr>
        <w:ind w:left="2880" w:hanging="360"/>
      </w:pPr>
    </w:lvl>
    <w:lvl w:ilvl="4" w:tplc="29626891" w:tentative="1">
      <w:start w:val="1"/>
      <w:numFmt w:val="lowerLetter"/>
      <w:lvlText w:val="%5."/>
      <w:lvlJc w:val="left"/>
      <w:pPr>
        <w:ind w:left="3600" w:hanging="360"/>
      </w:pPr>
    </w:lvl>
    <w:lvl w:ilvl="5" w:tplc="29626891" w:tentative="1">
      <w:start w:val="1"/>
      <w:numFmt w:val="lowerRoman"/>
      <w:lvlText w:val="%6."/>
      <w:lvlJc w:val="right"/>
      <w:pPr>
        <w:ind w:left="4320" w:hanging="180"/>
      </w:pPr>
    </w:lvl>
    <w:lvl w:ilvl="6" w:tplc="29626891" w:tentative="1">
      <w:start w:val="1"/>
      <w:numFmt w:val="decimal"/>
      <w:lvlText w:val="%7."/>
      <w:lvlJc w:val="left"/>
      <w:pPr>
        <w:ind w:left="5040" w:hanging="360"/>
      </w:pPr>
    </w:lvl>
    <w:lvl w:ilvl="7" w:tplc="29626891" w:tentative="1">
      <w:start w:val="1"/>
      <w:numFmt w:val="lowerLetter"/>
      <w:lvlText w:val="%8."/>
      <w:lvlJc w:val="left"/>
      <w:pPr>
        <w:ind w:left="5760" w:hanging="360"/>
      </w:pPr>
    </w:lvl>
    <w:lvl w:ilvl="8" w:tplc="29626891" w:tentative="1">
      <w:start w:val="1"/>
      <w:numFmt w:val="lowerRoman"/>
      <w:lvlText w:val="%9."/>
      <w:lvlJc w:val="right"/>
      <w:pPr>
        <w:ind w:left="6480" w:hanging="180"/>
      </w:pPr>
    </w:lvl>
  </w:abstractNum>
  <w:abstractNum w:abstractNumId="22457">
    <w:multiLevelType w:val="hybridMultilevel"/>
    <w:lvl w:ilvl="0" w:tplc="31776374">
      <w:start w:val="1"/>
      <w:numFmt w:val="decimal"/>
      <w:lvlText w:val="%1."/>
      <w:lvlJc w:val="left"/>
      <w:pPr>
        <w:ind w:left="720" w:hanging="360"/>
      </w:pPr>
    </w:lvl>
    <w:lvl w:ilvl="1" w:tplc="31776374" w:tentative="1">
      <w:start w:val="1"/>
      <w:numFmt w:val="lowerLetter"/>
      <w:lvlText w:val="%2."/>
      <w:lvlJc w:val="left"/>
      <w:pPr>
        <w:ind w:left="1440" w:hanging="360"/>
      </w:pPr>
    </w:lvl>
    <w:lvl w:ilvl="2" w:tplc="31776374" w:tentative="1">
      <w:start w:val="1"/>
      <w:numFmt w:val="lowerRoman"/>
      <w:lvlText w:val="%3."/>
      <w:lvlJc w:val="right"/>
      <w:pPr>
        <w:ind w:left="2160" w:hanging="180"/>
      </w:pPr>
    </w:lvl>
    <w:lvl w:ilvl="3" w:tplc="31776374" w:tentative="1">
      <w:start w:val="1"/>
      <w:numFmt w:val="decimal"/>
      <w:lvlText w:val="%4."/>
      <w:lvlJc w:val="left"/>
      <w:pPr>
        <w:ind w:left="2880" w:hanging="360"/>
      </w:pPr>
    </w:lvl>
    <w:lvl w:ilvl="4" w:tplc="31776374" w:tentative="1">
      <w:start w:val="1"/>
      <w:numFmt w:val="lowerLetter"/>
      <w:lvlText w:val="%5."/>
      <w:lvlJc w:val="left"/>
      <w:pPr>
        <w:ind w:left="3600" w:hanging="360"/>
      </w:pPr>
    </w:lvl>
    <w:lvl w:ilvl="5" w:tplc="31776374" w:tentative="1">
      <w:start w:val="1"/>
      <w:numFmt w:val="lowerRoman"/>
      <w:lvlText w:val="%6."/>
      <w:lvlJc w:val="right"/>
      <w:pPr>
        <w:ind w:left="4320" w:hanging="180"/>
      </w:pPr>
    </w:lvl>
    <w:lvl w:ilvl="6" w:tplc="31776374" w:tentative="1">
      <w:start w:val="1"/>
      <w:numFmt w:val="decimal"/>
      <w:lvlText w:val="%7."/>
      <w:lvlJc w:val="left"/>
      <w:pPr>
        <w:ind w:left="5040" w:hanging="360"/>
      </w:pPr>
    </w:lvl>
    <w:lvl w:ilvl="7" w:tplc="31776374" w:tentative="1">
      <w:start w:val="1"/>
      <w:numFmt w:val="lowerLetter"/>
      <w:lvlText w:val="%8."/>
      <w:lvlJc w:val="left"/>
      <w:pPr>
        <w:ind w:left="5760" w:hanging="360"/>
      </w:pPr>
    </w:lvl>
    <w:lvl w:ilvl="8" w:tplc="31776374" w:tentative="1">
      <w:start w:val="1"/>
      <w:numFmt w:val="lowerRoman"/>
      <w:lvlText w:val="%9."/>
      <w:lvlJc w:val="right"/>
      <w:pPr>
        <w:ind w:left="6480" w:hanging="180"/>
      </w:pPr>
    </w:lvl>
  </w:abstractNum>
  <w:abstractNum w:abstractNumId="22456">
    <w:multiLevelType w:val="hybridMultilevel"/>
    <w:lvl w:ilvl="0" w:tplc="13422273">
      <w:start w:val="1"/>
      <w:numFmt w:val="decimal"/>
      <w:lvlText w:val="%1."/>
      <w:lvlJc w:val="left"/>
      <w:pPr>
        <w:ind w:left="720" w:hanging="360"/>
      </w:pPr>
    </w:lvl>
    <w:lvl w:ilvl="1" w:tplc="13422273" w:tentative="1">
      <w:start w:val="1"/>
      <w:numFmt w:val="lowerLetter"/>
      <w:lvlText w:val="%2."/>
      <w:lvlJc w:val="left"/>
      <w:pPr>
        <w:ind w:left="1440" w:hanging="360"/>
      </w:pPr>
    </w:lvl>
    <w:lvl w:ilvl="2" w:tplc="13422273" w:tentative="1">
      <w:start w:val="1"/>
      <w:numFmt w:val="lowerRoman"/>
      <w:lvlText w:val="%3."/>
      <w:lvlJc w:val="right"/>
      <w:pPr>
        <w:ind w:left="2160" w:hanging="180"/>
      </w:pPr>
    </w:lvl>
    <w:lvl w:ilvl="3" w:tplc="13422273" w:tentative="1">
      <w:start w:val="1"/>
      <w:numFmt w:val="decimal"/>
      <w:lvlText w:val="%4."/>
      <w:lvlJc w:val="left"/>
      <w:pPr>
        <w:ind w:left="2880" w:hanging="360"/>
      </w:pPr>
    </w:lvl>
    <w:lvl w:ilvl="4" w:tplc="13422273" w:tentative="1">
      <w:start w:val="1"/>
      <w:numFmt w:val="lowerLetter"/>
      <w:lvlText w:val="%5."/>
      <w:lvlJc w:val="left"/>
      <w:pPr>
        <w:ind w:left="3600" w:hanging="360"/>
      </w:pPr>
    </w:lvl>
    <w:lvl w:ilvl="5" w:tplc="13422273" w:tentative="1">
      <w:start w:val="1"/>
      <w:numFmt w:val="lowerRoman"/>
      <w:lvlText w:val="%6."/>
      <w:lvlJc w:val="right"/>
      <w:pPr>
        <w:ind w:left="4320" w:hanging="180"/>
      </w:pPr>
    </w:lvl>
    <w:lvl w:ilvl="6" w:tplc="13422273" w:tentative="1">
      <w:start w:val="1"/>
      <w:numFmt w:val="decimal"/>
      <w:lvlText w:val="%7."/>
      <w:lvlJc w:val="left"/>
      <w:pPr>
        <w:ind w:left="5040" w:hanging="360"/>
      </w:pPr>
    </w:lvl>
    <w:lvl w:ilvl="7" w:tplc="13422273" w:tentative="1">
      <w:start w:val="1"/>
      <w:numFmt w:val="lowerLetter"/>
      <w:lvlText w:val="%8."/>
      <w:lvlJc w:val="left"/>
      <w:pPr>
        <w:ind w:left="5760" w:hanging="360"/>
      </w:pPr>
    </w:lvl>
    <w:lvl w:ilvl="8" w:tplc="13422273" w:tentative="1">
      <w:start w:val="1"/>
      <w:numFmt w:val="lowerRoman"/>
      <w:lvlText w:val="%9."/>
      <w:lvlJc w:val="right"/>
      <w:pPr>
        <w:ind w:left="6480" w:hanging="180"/>
      </w:pPr>
    </w:lvl>
  </w:abstractNum>
  <w:abstractNum w:abstractNumId="22455">
    <w:multiLevelType w:val="hybridMultilevel"/>
    <w:lvl w:ilvl="0" w:tplc="73310286">
      <w:start w:val="1"/>
      <w:numFmt w:val="decimal"/>
      <w:lvlText w:val="%1."/>
      <w:lvlJc w:val="left"/>
      <w:pPr>
        <w:ind w:left="720" w:hanging="360"/>
      </w:pPr>
    </w:lvl>
    <w:lvl w:ilvl="1" w:tplc="73310286" w:tentative="1">
      <w:start w:val="1"/>
      <w:numFmt w:val="lowerLetter"/>
      <w:lvlText w:val="%2."/>
      <w:lvlJc w:val="left"/>
      <w:pPr>
        <w:ind w:left="1440" w:hanging="360"/>
      </w:pPr>
    </w:lvl>
    <w:lvl w:ilvl="2" w:tplc="73310286" w:tentative="1">
      <w:start w:val="1"/>
      <w:numFmt w:val="lowerRoman"/>
      <w:lvlText w:val="%3."/>
      <w:lvlJc w:val="right"/>
      <w:pPr>
        <w:ind w:left="2160" w:hanging="180"/>
      </w:pPr>
    </w:lvl>
    <w:lvl w:ilvl="3" w:tplc="73310286" w:tentative="1">
      <w:start w:val="1"/>
      <w:numFmt w:val="decimal"/>
      <w:lvlText w:val="%4."/>
      <w:lvlJc w:val="left"/>
      <w:pPr>
        <w:ind w:left="2880" w:hanging="360"/>
      </w:pPr>
    </w:lvl>
    <w:lvl w:ilvl="4" w:tplc="73310286" w:tentative="1">
      <w:start w:val="1"/>
      <w:numFmt w:val="lowerLetter"/>
      <w:lvlText w:val="%5."/>
      <w:lvlJc w:val="left"/>
      <w:pPr>
        <w:ind w:left="3600" w:hanging="360"/>
      </w:pPr>
    </w:lvl>
    <w:lvl w:ilvl="5" w:tplc="73310286" w:tentative="1">
      <w:start w:val="1"/>
      <w:numFmt w:val="lowerRoman"/>
      <w:lvlText w:val="%6."/>
      <w:lvlJc w:val="right"/>
      <w:pPr>
        <w:ind w:left="4320" w:hanging="180"/>
      </w:pPr>
    </w:lvl>
    <w:lvl w:ilvl="6" w:tplc="73310286" w:tentative="1">
      <w:start w:val="1"/>
      <w:numFmt w:val="decimal"/>
      <w:lvlText w:val="%7."/>
      <w:lvlJc w:val="left"/>
      <w:pPr>
        <w:ind w:left="5040" w:hanging="360"/>
      </w:pPr>
    </w:lvl>
    <w:lvl w:ilvl="7" w:tplc="73310286" w:tentative="1">
      <w:start w:val="1"/>
      <w:numFmt w:val="lowerLetter"/>
      <w:lvlText w:val="%8."/>
      <w:lvlJc w:val="left"/>
      <w:pPr>
        <w:ind w:left="5760" w:hanging="360"/>
      </w:pPr>
    </w:lvl>
    <w:lvl w:ilvl="8" w:tplc="73310286" w:tentative="1">
      <w:start w:val="1"/>
      <w:numFmt w:val="lowerRoman"/>
      <w:lvlText w:val="%9."/>
      <w:lvlJc w:val="right"/>
      <w:pPr>
        <w:ind w:left="6480" w:hanging="180"/>
      </w:pPr>
    </w:lvl>
  </w:abstractNum>
  <w:abstractNum w:abstractNumId="22454">
    <w:multiLevelType w:val="hybridMultilevel"/>
    <w:lvl w:ilvl="0" w:tplc="69548255">
      <w:start w:val="1"/>
      <w:numFmt w:val="decimal"/>
      <w:lvlText w:val="%1."/>
      <w:lvlJc w:val="left"/>
      <w:pPr>
        <w:ind w:left="720" w:hanging="360"/>
      </w:pPr>
    </w:lvl>
    <w:lvl w:ilvl="1" w:tplc="69548255" w:tentative="1">
      <w:start w:val="1"/>
      <w:numFmt w:val="lowerLetter"/>
      <w:lvlText w:val="%2."/>
      <w:lvlJc w:val="left"/>
      <w:pPr>
        <w:ind w:left="1440" w:hanging="360"/>
      </w:pPr>
    </w:lvl>
    <w:lvl w:ilvl="2" w:tplc="69548255" w:tentative="1">
      <w:start w:val="1"/>
      <w:numFmt w:val="lowerRoman"/>
      <w:lvlText w:val="%3."/>
      <w:lvlJc w:val="right"/>
      <w:pPr>
        <w:ind w:left="2160" w:hanging="180"/>
      </w:pPr>
    </w:lvl>
    <w:lvl w:ilvl="3" w:tplc="69548255" w:tentative="1">
      <w:start w:val="1"/>
      <w:numFmt w:val="decimal"/>
      <w:lvlText w:val="%4."/>
      <w:lvlJc w:val="left"/>
      <w:pPr>
        <w:ind w:left="2880" w:hanging="360"/>
      </w:pPr>
    </w:lvl>
    <w:lvl w:ilvl="4" w:tplc="69548255" w:tentative="1">
      <w:start w:val="1"/>
      <w:numFmt w:val="lowerLetter"/>
      <w:lvlText w:val="%5."/>
      <w:lvlJc w:val="left"/>
      <w:pPr>
        <w:ind w:left="3600" w:hanging="360"/>
      </w:pPr>
    </w:lvl>
    <w:lvl w:ilvl="5" w:tplc="69548255" w:tentative="1">
      <w:start w:val="1"/>
      <w:numFmt w:val="lowerRoman"/>
      <w:lvlText w:val="%6."/>
      <w:lvlJc w:val="right"/>
      <w:pPr>
        <w:ind w:left="4320" w:hanging="180"/>
      </w:pPr>
    </w:lvl>
    <w:lvl w:ilvl="6" w:tplc="69548255" w:tentative="1">
      <w:start w:val="1"/>
      <w:numFmt w:val="decimal"/>
      <w:lvlText w:val="%7."/>
      <w:lvlJc w:val="left"/>
      <w:pPr>
        <w:ind w:left="5040" w:hanging="360"/>
      </w:pPr>
    </w:lvl>
    <w:lvl w:ilvl="7" w:tplc="69548255" w:tentative="1">
      <w:start w:val="1"/>
      <w:numFmt w:val="lowerLetter"/>
      <w:lvlText w:val="%8."/>
      <w:lvlJc w:val="left"/>
      <w:pPr>
        <w:ind w:left="5760" w:hanging="360"/>
      </w:pPr>
    </w:lvl>
    <w:lvl w:ilvl="8" w:tplc="69548255" w:tentative="1">
      <w:start w:val="1"/>
      <w:numFmt w:val="lowerRoman"/>
      <w:lvlText w:val="%9."/>
      <w:lvlJc w:val="right"/>
      <w:pPr>
        <w:ind w:left="6480" w:hanging="180"/>
      </w:pPr>
    </w:lvl>
  </w:abstractNum>
  <w:abstractNum w:abstractNumId="22453">
    <w:multiLevelType w:val="hybridMultilevel"/>
    <w:lvl w:ilvl="0" w:tplc="23084808">
      <w:start w:val="1"/>
      <w:numFmt w:val="decimal"/>
      <w:lvlText w:val="%1."/>
      <w:lvlJc w:val="left"/>
      <w:pPr>
        <w:ind w:left="720" w:hanging="360"/>
      </w:pPr>
    </w:lvl>
    <w:lvl w:ilvl="1" w:tplc="23084808" w:tentative="1">
      <w:start w:val="1"/>
      <w:numFmt w:val="lowerLetter"/>
      <w:lvlText w:val="%2."/>
      <w:lvlJc w:val="left"/>
      <w:pPr>
        <w:ind w:left="1440" w:hanging="360"/>
      </w:pPr>
    </w:lvl>
    <w:lvl w:ilvl="2" w:tplc="23084808" w:tentative="1">
      <w:start w:val="1"/>
      <w:numFmt w:val="lowerRoman"/>
      <w:lvlText w:val="%3."/>
      <w:lvlJc w:val="right"/>
      <w:pPr>
        <w:ind w:left="2160" w:hanging="180"/>
      </w:pPr>
    </w:lvl>
    <w:lvl w:ilvl="3" w:tplc="23084808" w:tentative="1">
      <w:start w:val="1"/>
      <w:numFmt w:val="decimal"/>
      <w:lvlText w:val="%4."/>
      <w:lvlJc w:val="left"/>
      <w:pPr>
        <w:ind w:left="2880" w:hanging="360"/>
      </w:pPr>
    </w:lvl>
    <w:lvl w:ilvl="4" w:tplc="23084808" w:tentative="1">
      <w:start w:val="1"/>
      <w:numFmt w:val="lowerLetter"/>
      <w:lvlText w:val="%5."/>
      <w:lvlJc w:val="left"/>
      <w:pPr>
        <w:ind w:left="3600" w:hanging="360"/>
      </w:pPr>
    </w:lvl>
    <w:lvl w:ilvl="5" w:tplc="23084808" w:tentative="1">
      <w:start w:val="1"/>
      <w:numFmt w:val="lowerRoman"/>
      <w:lvlText w:val="%6."/>
      <w:lvlJc w:val="right"/>
      <w:pPr>
        <w:ind w:left="4320" w:hanging="180"/>
      </w:pPr>
    </w:lvl>
    <w:lvl w:ilvl="6" w:tplc="23084808" w:tentative="1">
      <w:start w:val="1"/>
      <w:numFmt w:val="decimal"/>
      <w:lvlText w:val="%7."/>
      <w:lvlJc w:val="left"/>
      <w:pPr>
        <w:ind w:left="5040" w:hanging="360"/>
      </w:pPr>
    </w:lvl>
    <w:lvl w:ilvl="7" w:tplc="23084808" w:tentative="1">
      <w:start w:val="1"/>
      <w:numFmt w:val="lowerLetter"/>
      <w:lvlText w:val="%8."/>
      <w:lvlJc w:val="left"/>
      <w:pPr>
        <w:ind w:left="5760" w:hanging="360"/>
      </w:pPr>
    </w:lvl>
    <w:lvl w:ilvl="8" w:tplc="23084808" w:tentative="1">
      <w:start w:val="1"/>
      <w:numFmt w:val="lowerRoman"/>
      <w:lvlText w:val="%9."/>
      <w:lvlJc w:val="right"/>
      <w:pPr>
        <w:ind w:left="6480" w:hanging="180"/>
      </w:pPr>
    </w:lvl>
  </w:abstractNum>
  <w:abstractNum w:abstractNumId="22452">
    <w:multiLevelType w:val="hybridMultilevel"/>
    <w:lvl w:ilvl="0" w:tplc="47536343">
      <w:start w:val="1"/>
      <w:numFmt w:val="decimal"/>
      <w:lvlText w:val="%1."/>
      <w:lvlJc w:val="left"/>
      <w:pPr>
        <w:ind w:left="720" w:hanging="360"/>
      </w:pPr>
    </w:lvl>
    <w:lvl w:ilvl="1" w:tplc="47536343" w:tentative="1">
      <w:start w:val="1"/>
      <w:numFmt w:val="lowerLetter"/>
      <w:lvlText w:val="%2."/>
      <w:lvlJc w:val="left"/>
      <w:pPr>
        <w:ind w:left="1440" w:hanging="360"/>
      </w:pPr>
    </w:lvl>
    <w:lvl w:ilvl="2" w:tplc="47536343" w:tentative="1">
      <w:start w:val="1"/>
      <w:numFmt w:val="lowerRoman"/>
      <w:lvlText w:val="%3."/>
      <w:lvlJc w:val="right"/>
      <w:pPr>
        <w:ind w:left="2160" w:hanging="180"/>
      </w:pPr>
    </w:lvl>
    <w:lvl w:ilvl="3" w:tplc="47536343" w:tentative="1">
      <w:start w:val="1"/>
      <w:numFmt w:val="decimal"/>
      <w:lvlText w:val="%4."/>
      <w:lvlJc w:val="left"/>
      <w:pPr>
        <w:ind w:left="2880" w:hanging="360"/>
      </w:pPr>
    </w:lvl>
    <w:lvl w:ilvl="4" w:tplc="47536343" w:tentative="1">
      <w:start w:val="1"/>
      <w:numFmt w:val="lowerLetter"/>
      <w:lvlText w:val="%5."/>
      <w:lvlJc w:val="left"/>
      <w:pPr>
        <w:ind w:left="3600" w:hanging="360"/>
      </w:pPr>
    </w:lvl>
    <w:lvl w:ilvl="5" w:tplc="47536343" w:tentative="1">
      <w:start w:val="1"/>
      <w:numFmt w:val="lowerRoman"/>
      <w:lvlText w:val="%6."/>
      <w:lvlJc w:val="right"/>
      <w:pPr>
        <w:ind w:left="4320" w:hanging="180"/>
      </w:pPr>
    </w:lvl>
    <w:lvl w:ilvl="6" w:tplc="47536343" w:tentative="1">
      <w:start w:val="1"/>
      <w:numFmt w:val="decimal"/>
      <w:lvlText w:val="%7."/>
      <w:lvlJc w:val="left"/>
      <w:pPr>
        <w:ind w:left="5040" w:hanging="360"/>
      </w:pPr>
    </w:lvl>
    <w:lvl w:ilvl="7" w:tplc="47536343" w:tentative="1">
      <w:start w:val="1"/>
      <w:numFmt w:val="lowerLetter"/>
      <w:lvlText w:val="%8."/>
      <w:lvlJc w:val="left"/>
      <w:pPr>
        <w:ind w:left="5760" w:hanging="360"/>
      </w:pPr>
    </w:lvl>
    <w:lvl w:ilvl="8" w:tplc="47536343" w:tentative="1">
      <w:start w:val="1"/>
      <w:numFmt w:val="lowerRoman"/>
      <w:lvlText w:val="%9."/>
      <w:lvlJc w:val="right"/>
      <w:pPr>
        <w:ind w:left="6480" w:hanging="180"/>
      </w:pPr>
    </w:lvl>
  </w:abstractNum>
  <w:abstractNum w:abstractNumId="22451">
    <w:multiLevelType w:val="hybridMultilevel"/>
    <w:lvl w:ilvl="0" w:tplc="63833184">
      <w:start w:val="1"/>
      <w:numFmt w:val="decimal"/>
      <w:lvlText w:val="%1."/>
      <w:lvlJc w:val="left"/>
      <w:pPr>
        <w:ind w:left="720" w:hanging="360"/>
      </w:pPr>
    </w:lvl>
    <w:lvl w:ilvl="1" w:tplc="63833184" w:tentative="1">
      <w:start w:val="1"/>
      <w:numFmt w:val="lowerLetter"/>
      <w:lvlText w:val="%2."/>
      <w:lvlJc w:val="left"/>
      <w:pPr>
        <w:ind w:left="1440" w:hanging="360"/>
      </w:pPr>
    </w:lvl>
    <w:lvl w:ilvl="2" w:tplc="63833184" w:tentative="1">
      <w:start w:val="1"/>
      <w:numFmt w:val="lowerRoman"/>
      <w:lvlText w:val="%3."/>
      <w:lvlJc w:val="right"/>
      <w:pPr>
        <w:ind w:left="2160" w:hanging="180"/>
      </w:pPr>
    </w:lvl>
    <w:lvl w:ilvl="3" w:tplc="63833184" w:tentative="1">
      <w:start w:val="1"/>
      <w:numFmt w:val="decimal"/>
      <w:lvlText w:val="%4."/>
      <w:lvlJc w:val="left"/>
      <w:pPr>
        <w:ind w:left="2880" w:hanging="360"/>
      </w:pPr>
    </w:lvl>
    <w:lvl w:ilvl="4" w:tplc="63833184" w:tentative="1">
      <w:start w:val="1"/>
      <w:numFmt w:val="lowerLetter"/>
      <w:lvlText w:val="%5."/>
      <w:lvlJc w:val="left"/>
      <w:pPr>
        <w:ind w:left="3600" w:hanging="360"/>
      </w:pPr>
    </w:lvl>
    <w:lvl w:ilvl="5" w:tplc="63833184" w:tentative="1">
      <w:start w:val="1"/>
      <w:numFmt w:val="lowerRoman"/>
      <w:lvlText w:val="%6."/>
      <w:lvlJc w:val="right"/>
      <w:pPr>
        <w:ind w:left="4320" w:hanging="180"/>
      </w:pPr>
    </w:lvl>
    <w:lvl w:ilvl="6" w:tplc="63833184" w:tentative="1">
      <w:start w:val="1"/>
      <w:numFmt w:val="decimal"/>
      <w:lvlText w:val="%7."/>
      <w:lvlJc w:val="left"/>
      <w:pPr>
        <w:ind w:left="5040" w:hanging="360"/>
      </w:pPr>
    </w:lvl>
    <w:lvl w:ilvl="7" w:tplc="63833184" w:tentative="1">
      <w:start w:val="1"/>
      <w:numFmt w:val="lowerLetter"/>
      <w:lvlText w:val="%8."/>
      <w:lvlJc w:val="left"/>
      <w:pPr>
        <w:ind w:left="5760" w:hanging="360"/>
      </w:pPr>
    </w:lvl>
    <w:lvl w:ilvl="8" w:tplc="63833184" w:tentative="1">
      <w:start w:val="1"/>
      <w:numFmt w:val="lowerRoman"/>
      <w:lvlText w:val="%9."/>
      <w:lvlJc w:val="right"/>
      <w:pPr>
        <w:ind w:left="6480" w:hanging="180"/>
      </w:pPr>
    </w:lvl>
  </w:abstractNum>
  <w:abstractNum w:abstractNumId="22450">
    <w:multiLevelType w:val="hybridMultilevel"/>
    <w:lvl w:ilvl="0" w:tplc="895487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450">
    <w:abstractNumId w:val="22450"/>
  </w:num>
  <w:num w:numId="22451">
    <w:abstractNumId w:val="22451"/>
  </w:num>
  <w:num w:numId="22452">
    <w:abstractNumId w:val="22452"/>
  </w:num>
  <w:num w:numId="22453">
    <w:abstractNumId w:val="22453"/>
  </w:num>
  <w:num w:numId="22454">
    <w:abstractNumId w:val="22454"/>
  </w:num>
  <w:num w:numId="22455">
    <w:abstractNumId w:val="22455"/>
  </w:num>
  <w:num w:numId="22456">
    <w:abstractNumId w:val="22456"/>
  </w:num>
  <w:num w:numId="22457">
    <w:abstractNumId w:val="22457"/>
  </w:num>
  <w:num w:numId="22458">
    <w:abstractNumId w:val="22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7864940" Type="http://schemas.openxmlformats.org/officeDocument/2006/relationships/comments" Target="comments.xml"/><Relationship Id="rId966267411" Type="http://schemas.microsoft.com/office/2011/relationships/commentsExtended" Target="commentsExtended.xml"/><Relationship Id="rId26533319" Type="http://schemas.openxmlformats.org/officeDocument/2006/relationships/image" Target="media/imgrId26533319.jpg"/><Relationship Id="rId7838677bcfc5d9dd3" Type="http://schemas.openxmlformats.org/officeDocument/2006/relationships/hyperlink" Target="https://iservice.lombardini.it/jsp/Template2/manuale.jsp?id=722&amp;parent=1545" TargetMode="External"/><Relationship Id="rId1965677bcfc5ddc84" Type="http://schemas.openxmlformats.org/officeDocument/2006/relationships/hyperlink" Target="https://iservice.lombardini.it/jsp/Template2/manuale.jsp?id=195&amp;parent=1545" TargetMode="External"/><Relationship Id="rId2803677bcfc69803d" Type="http://schemas.openxmlformats.org/officeDocument/2006/relationships/hyperlink" Target="https://iservice.lombardini.it/jsp/Template2/manuale.jsp?id=280&amp;parent=1545" TargetMode="External"/><Relationship Id="rId9725677bcfc729f88" Type="http://schemas.openxmlformats.org/officeDocument/2006/relationships/hyperlink" Target="https://iservice.lombardini.it/jsp/Template2/manuale.jsp?id=191&amp;parent=1000" TargetMode="External"/><Relationship Id="rId3123677bcfc72b4df" Type="http://schemas.openxmlformats.org/officeDocument/2006/relationships/hyperlink" Target="https://iservice.lombardini.it/jsp/Template2/manuale.jsp?id=191&amp;parent=1000" TargetMode="External"/><Relationship Id="rId2789677bcfc76b95b" Type="http://schemas.openxmlformats.org/officeDocument/2006/relationships/hyperlink" Target="https://www.youtube.com/embed/gb6hxNuHPKU?rel=0" TargetMode="External"/><Relationship Id="rId6654677bcfc860973" Type="http://schemas.openxmlformats.org/officeDocument/2006/relationships/hyperlink" Target="https://iservice.lombardini.it/jsp/Template2/manuale.jsp?id=815&amp;parent=1545" TargetMode="External"/><Relationship Id="rId9482677bcfc88dad7" Type="http://schemas.openxmlformats.org/officeDocument/2006/relationships/hyperlink" Target="https://iservice.lombardini.it/jsp/Template2/manuale.jsp?id=400&amp;parent=1545" TargetMode="External"/><Relationship Id="rId1665677bcfc88df3c" Type="http://schemas.openxmlformats.org/officeDocument/2006/relationships/hyperlink" Target="https://iservice.lombardini.it/jsp/Template2/manuale.jsp?id=401&amp;parent=1545" TargetMode="External"/><Relationship Id="rId1091677bcfc9a97bb" Type="http://schemas.openxmlformats.org/officeDocument/2006/relationships/hyperlink" Target="https://partners.lombardini.it/App/SparepartCatalogue_2.0/Default/Catalogue.aspx" TargetMode="External"/><Relationship Id="rId6271677bcfca4ef93" Type="http://schemas.openxmlformats.org/officeDocument/2006/relationships/hyperlink" Target="https://iservice.lombardini.it/jsp/Template2/manuale.jsp?id=722&amp;parent=1545" TargetMode="External"/><Relationship Id="rId6264677bcfca742dc" Type="http://schemas.openxmlformats.org/officeDocument/2006/relationships/hyperlink" Target="https://iservice.lombardini.it/jsp/Template2/manuale.jsp?id=722&amp;parent=1545" TargetMode="External"/><Relationship Id="rId2834677bcfca74c66" Type="http://schemas.openxmlformats.org/officeDocument/2006/relationships/hyperlink" Target="https://iservice.lombardini.it/jsp/Template2/manuale.jsp?id=730&amp;parent=1545" TargetMode="External"/><Relationship Id="rId4789677bcfca9473f" Type="http://schemas.openxmlformats.org/officeDocument/2006/relationships/hyperlink" Target="https://iservice.lombardini.it/jsp/Template2/manuale.jsp?id=739&amp;parent=1545" TargetMode="External"/><Relationship Id="rId3083677bcfc5ee123" Type="http://schemas.openxmlformats.org/officeDocument/2006/relationships/image" Target="media/imgrId3083677bcfc5ee123.jpg"/><Relationship Id="rId2295677bcfc60cd41" Type="http://schemas.openxmlformats.org/officeDocument/2006/relationships/image" Target="media/imgrId2295677bcfc60cd41.jpg"/><Relationship Id="rId8870677bcfc617ec7" Type="http://schemas.openxmlformats.org/officeDocument/2006/relationships/image" Target="media/imgrId8870677bcfc617ec7.png"/><Relationship Id="rId8210677bcfc621cc4" Type="http://schemas.openxmlformats.org/officeDocument/2006/relationships/image" Target="media/imgrId8210677bcfc621cc4.png"/><Relationship Id="rId8932677bcfc62d6fe" Type="http://schemas.openxmlformats.org/officeDocument/2006/relationships/image" Target="media/imgrId8932677bcfc62d6fe.png"/><Relationship Id="rId7916677bcfc637bec" Type="http://schemas.openxmlformats.org/officeDocument/2006/relationships/image" Target="media/imgrId7916677bcfc637bec.png"/><Relationship Id="rId9544677bcfc641bdb" Type="http://schemas.openxmlformats.org/officeDocument/2006/relationships/image" Target="media/imgrId9544677bcfc641bdb.png"/><Relationship Id="rId1116677bcfc64ab8f" Type="http://schemas.openxmlformats.org/officeDocument/2006/relationships/image" Target="media/imgrId1116677bcfc64ab8f.jpg"/><Relationship Id="rId4349677bcfc654e67" Type="http://schemas.openxmlformats.org/officeDocument/2006/relationships/image" Target="media/imgrId4349677bcfc654e67.jpg"/><Relationship Id="rId2479677bcfc66253a" Type="http://schemas.openxmlformats.org/officeDocument/2006/relationships/image" Target="media/imgrId2479677bcfc66253a.jpg"/><Relationship Id="rId3159677bcfc669060" Type="http://schemas.openxmlformats.org/officeDocument/2006/relationships/image" Target="media/imgrId3159677bcfc669060.jpg"/><Relationship Id="rId7577677bcfc680b61" Type="http://schemas.openxmlformats.org/officeDocument/2006/relationships/image" Target="media/imgrId7577677bcfc680b61.png"/><Relationship Id="rId9413677bcfc69e778" Type="http://schemas.openxmlformats.org/officeDocument/2006/relationships/image" Target="media/imgrId9413677bcfc69e778.jpg"/><Relationship Id="rId3369677bcfc6b54f2" Type="http://schemas.openxmlformats.org/officeDocument/2006/relationships/image" Target="media/imgrId3369677bcfc6b54f2.jpg"/><Relationship Id="rId2732677bcfc6c4c9c" Type="http://schemas.openxmlformats.org/officeDocument/2006/relationships/image" Target="media/imgrId2732677bcfc6c4c9c.jpg"/><Relationship Id="rId2025677bcfc6d8df2" Type="http://schemas.openxmlformats.org/officeDocument/2006/relationships/image" Target="media/imgrId2025677bcfc6d8df2.jpg"/><Relationship Id="rId4876677bcfc6e3493" Type="http://schemas.openxmlformats.org/officeDocument/2006/relationships/image" Target="media/imgrId4876677bcfc6e3493.jpg"/><Relationship Id="rId9190677bcfc6eaa9f" Type="http://schemas.openxmlformats.org/officeDocument/2006/relationships/image" Target="media/imgrId9190677bcfc6eaa9f.jpg"/><Relationship Id="rId2953677bcfc706aac" Type="http://schemas.openxmlformats.org/officeDocument/2006/relationships/image" Target="media/imgrId2953677bcfc706aac.jpg"/><Relationship Id="rId7610677bcfc717ccb" Type="http://schemas.openxmlformats.org/officeDocument/2006/relationships/image" Target="media/imgrId7610677bcfc717ccb.jpg"/><Relationship Id="rId4579677bcfc727ffa" Type="http://schemas.openxmlformats.org/officeDocument/2006/relationships/image" Target="media/imgrId4579677bcfc727ffa.jpg"/><Relationship Id="rId5167677bcfc730fd7" Type="http://schemas.openxmlformats.org/officeDocument/2006/relationships/image" Target="media/imgrId5167677bcfc730fd7.jpg"/><Relationship Id="rId8970677bcfc73b9e0" Type="http://schemas.openxmlformats.org/officeDocument/2006/relationships/image" Target="media/imgrId8970677bcfc73b9e0.jpg"/><Relationship Id="rId7647677bcfc747784" Type="http://schemas.openxmlformats.org/officeDocument/2006/relationships/image" Target="media/imgrId7647677bcfc747784.jpg"/><Relationship Id="rId6144677bcfc75f03f" Type="http://schemas.openxmlformats.org/officeDocument/2006/relationships/image" Target="media/imgrId6144677bcfc75f03f.jpg"/><Relationship Id="rId5580677bcfc76afa9" Type="http://schemas.openxmlformats.org/officeDocument/2006/relationships/image" Target="media/imgrId5580677bcfc76afa9.jpg"/><Relationship Id="rId3072677bcfc77a40e" Type="http://schemas.openxmlformats.org/officeDocument/2006/relationships/image" Target="media/imgrId3072677bcfc77a40e.png"/><Relationship Id="rId4835677bcfc789120" Type="http://schemas.openxmlformats.org/officeDocument/2006/relationships/image" Target="media/imgrId4835677bcfc789120.png"/><Relationship Id="rId4201677bcfc79d7c0" Type="http://schemas.openxmlformats.org/officeDocument/2006/relationships/image" Target="media/imgrId4201677bcfc79d7c0.png"/><Relationship Id="rId2819677bcfc7b4b18" Type="http://schemas.openxmlformats.org/officeDocument/2006/relationships/image" Target="media/imgrId2819677bcfc7b4b18.png"/><Relationship Id="rId5533677bcfc7c742f" Type="http://schemas.openxmlformats.org/officeDocument/2006/relationships/image" Target="media/imgrId5533677bcfc7c742f.jpg"/><Relationship Id="rId3829677bcfc7d42d3" Type="http://schemas.openxmlformats.org/officeDocument/2006/relationships/image" Target="media/imgrId3829677bcfc7d42d3.jpg"/><Relationship Id="rId4576677bcfc7e2604" Type="http://schemas.openxmlformats.org/officeDocument/2006/relationships/image" Target="media/imgrId4576677bcfc7e2604.png"/><Relationship Id="rId2977677bcfc7f2e83" Type="http://schemas.openxmlformats.org/officeDocument/2006/relationships/image" Target="media/imgrId2977677bcfc7f2e83.png"/><Relationship Id="rId4058677bcfc8100eb" Type="http://schemas.openxmlformats.org/officeDocument/2006/relationships/image" Target="media/imgrId4058677bcfc8100eb.jpg"/><Relationship Id="rId3443677bcfc81ec47" Type="http://schemas.openxmlformats.org/officeDocument/2006/relationships/image" Target="media/imgrId3443677bcfc81ec47.jpg"/><Relationship Id="rId2103677bcfc82e073" Type="http://schemas.openxmlformats.org/officeDocument/2006/relationships/image" Target="media/imgrId2103677bcfc82e073.jpg"/><Relationship Id="rId2839677bcfc83a321" Type="http://schemas.openxmlformats.org/officeDocument/2006/relationships/image" Target="media/imgrId2839677bcfc83a321.jpg"/><Relationship Id="rId3355677bcfc84033e" Type="http://schemas.openxmlformats.org/officeDocument/2006/relationships/image" Target="media/imgrId3355677bcfc84033e.jpg"/><Relationship Id="rId5999677bcfc858bc8" Type="http://schemas.openxmlformats.org/officeDocument/2006/relationships/image" Target="media/imgrId5999677bcfc858bc8.jpg"/><Relationship Id="rId1435677bcfc85fe56" Type="http://schemas.openxmlformats.org/officeDocument/2006/relationships/image" Target="media/imgrId1435677bcfc85fe56.jpg"/><Relationship Id="rId7623677bcfc875c57" Type="http://schemas.openxmlformats.org/officeDocument/2006/relationships/image" Target="media/imgrId7623677bcfc875c57.jpg"/><Relationship Id="rId3463677bcfc87d3c1" Type="http://schemas.openxmlformats.org/officeDocument/2006/relationships/image" Target="media/imgrId3463677bcfc87d3c1.jpg"/><Relationship Id="rId6878677bcfc88cc7f" Type="http://schemas.openxmlformats.org/officeDocument/2006/relationships/image" Target="media/imgrId6878677bcfc88cc7f.jpg"/><Relationship Id="rId7272677bcfc89ac3c" Type="http://schemas.openxmlformats.org/officeDocument/2006/relationships/image" Target="media/imgrId7272677bcfc89ac3c.jpg"/><Relationship Id="rId4960677bcfc8a7385" Type="http://schemas.openxmlformats.org/officeDocument/2006/relationships/image" Target="media/imgrId4960677bcfc8a7385.jpg"/><Relationship Id="rId2638677bcfc8bde5f" Type="http://schemas.openxmlformats.org/officeDocument/2006/relationships/image" Target="media/imgrId2638677bcfc8bde5f.jpg"/><Relationship Id="rId1162677bcfc8d4646" Type="http://schemas.openxmlformats.org/officeDocument/2006/relationships/image" Target="media/imgrId1162677bcfc8d4646.jpg"/><Relationship Id="rId8666677bcfc8e8527" Type="http://schemas.openxmlformats.org/officeDocument/2006/relationships/image" Target="media/imgrId8666677bcfc8e8527.jpg"/><Relationship Id="rId8555677bcfc900b9f" Type="http://schemas.openxmlformats.org/officeDocument/2006/relationships/image" Target="media/imgrId8555677bcfc900b9f.jpg"/><Relationship Id="rId4162677bcfc90ef71" Type="http://schemas.openxmlformats.org/officeDocument/2006/relationships/image" Target="media/imgrId4162677bcfc90ef71.jpg"/><Relationship Id="rId6721677bcfc91e4e1" Type="http://schemas.openxmlformats.org/officeDocument/2006/relationships/image" Target="media/imgrId6721677bcfc91e4e1.jpg"/><Relationship Id="rId2262677bcfc92b6ec" Type="http://schemas.openxmlformats.org/officeDocument/2006/relationships/image" Target="media/imgrId2262677bcfc92b6ec.jpg"/><Relationship Id="rId4577677bcfc939105" Type="http://schemas.openxmlformats.org/officeDocument/2006/relationships/image" Target="media/imgrId4577677bcfc939105.jpg"/><Relationship Id="rId7669677bcfc943fe9" Type="http://schemas.openxmlformats.org/officeDocument/2006/relationships/image" Target="media/imgrId7669677bcfc943fe9.jpg"/><Relationship Id="rId1552677bcfc95c426" Type="http://schemas.openxmlformats.org/officeDocument/2006/relationships/image" Target="media/imgrId1552677bcfc95c426.jpg"/><Relationship Id="rId5127677bcfc9674c6" Type="http://schemas.openxmlformats.org/officeDocument/2006/relationships/image" Target="media/imgrId5127677bcfc9674c6.jpg"/><Relationship Id="rId2664677bcfc972b11" Type="http://schemas.openxmlformats.org/officeDocument/2006/relationships/image" Target="media/imgrId2664677bcfc972b11.jpg"/><Relationship Id="rId1213677bcfc97dd56" Type="http://schemas.openxmlformats.org/officeDocument/2006/relationships/image" Target="media/imgrId1213677bcfc97dd56.jpg"/><Relationship Id="rId1367677bcfc988ce1" Type="http://schemas.openxmlformats.org/officeDocument/2006/relationships/image" Target="media/imgrId1367677bcfc988ce1.jpg"/><Relationship Id="rId3360677bcfc996127" Type="http://schemas.openxmlformats.org/officeDocument/2006/relationships/image" Target="media/imgrId3360677bcfc996127.jpg"/><Relationship Id="rId5844677bcfc9a7d04" Type="http://schemas.openxmlformats.org/officeDocument/2006/relationships/image" Target="media/imgrId5844677bcfc9a7d04.jpg"/><Relationship Id="rId4853677bcfc9c572e" Type="http://schemas.openxmlformats.org/officeDocument/2006/relationships/image" Target="media/imgrId4853677bcfc9c572e.png"/><Relationship Id="rId2637677bcfc9d5159" Type="http://schemas.openxmlformats.org/officeDocument/2006/relationships/image" Target="media/imgrId2637677bcfc9d5159.jpg"/><Relationship Id="rId6819677bcfc9e5657" Type="http://schemas.openxmlformats.org/officeDocument/2006/relationships/image" Target="media/imgrId6819677bcfc9e5657.jpg"/><Relationship Id="rId1821677bcfc9f2854" Type="http://schemas.openxmlformats.org/officeDocument/2006/relationships/image" Target="media/imgrId1821677bcfc9f2854.jpg"/><Relationship Id="rId5665677bcfca10acf" Type="http://schemas.openxmlformats.org/officeDocument/2006/relationships/image" Target="media/imgrId5665677bcfca10acf.jpg"/><Relationship Id="rId5365677bcfca1b5cb" Type="http://schemas.openxmlformats.org/officeDocument/2006/relationships/image" Target="media/imgrId5365677bcfca1b5cb.jpg"/><Relationship Id="rId8893677bcfca2892f" Type="http://schemas.openxmlformats.org/officeDocument/2006/relationships/image" Target="media/imgrId8893677bcfca2892f.jpg"/><Relationship Id="rId2958677bcfca3961e" Type="http://schemas.openxmlformats.org/officeDocument/2006/relationships/image" Target="media/imgrId2958677bcfca3961e.jpg"/><Relationship Id="rId4954677bcfca4d9aa" Type="http://schemas.openxmlformats.org/officeDocument/2006/relationships/image" Target="media/imgrId4954677bcfca4d9aa.jpg"/><Relationship Id="rId3462677bcfca5bb6f" Type="http://schemas.openxmlformats.org/officeDocument/2006/relationships/image" Target="media/imgrId3462677bcfca5bb6f.jpg"/><Relationship Id="rId8649677bcfca66842" Type="http://schemas.openxmlformats.org/officeDocument/2006/relationships/image" Target="media/imgrId8649677bcfca66842.jpg"/><Relationship Id="rId6185677bcfca71c08" Type="http://schemas.openxmlformats.org/officeDocument/2006/relationships/image" Target="media/imgrId6185677bcfca71c08.jpg"/><Relationship Id="rId4607677bcfca82fd4" Type="http://schemas.openxmlformats.org/officeDocument/2006/relationships/image" Target="media/imgrId4607677bcfca82fd4.jpg"/><Relationship Id="rId9391677bcfca8d445" Type="http://schemas.openxmlformats.org/officeDocument/2006/relationships/image" Target="media/imgrId9391677bcfca8d445.jpg"/><Relationship Id="rId9965677bcfca933af" Type="http://schemas.openxmlformats.org/officeDocument/2006/relationships/image" Target="media/imgrId9965677bcfca933af.jpg"/><Relationship Id="rId6475677bcfca9cda2" Type="http://schemas.openxmlformats.org/officeDocument/2006/relationships/image" Target="media/imgrId6475677bcfca9cda2.jpg"/><Relationship Id="rId4187677bcfcaaa932" Type="http://schemas.openxmlformats.org/officeDocument/2006/relationships/image" Target="media/imgrId4187677bcfcaaa932.jpg"/><Relationship Id="rId7477677bcfcac16f6" Type="http://schemas.openxmlformats.org/officeDocument/2006/relationships/image" Target="media/imgrId7477677bcfcac16f6.jpg"/><Relationship Id="rId2735677bcfcacbd08" Type="http://schemas.openxmlformats.org/officeDocument/2006/relationships/image" Target="media/imgrId2735677bcfcacbd08.jpg"/><Relationship Id="rId3152677bcfcad885e" Type="http://schemas.openxmlformats.org/officeDocument/2006/relationships/image" Target="media/imgrId3152677bcfcad885e.jpg"/><Relationship Id="rId4775677bcfcadff9e" Type="http://schemas.openxmlformats.org/officeDocument/2006/relationships/image" Target="media/imgrId4775677bcfcadff9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6533319" Type="http://schemas.openxmlformats.org/officeDocument/2006/relationships/image" Target="media/imgrId265333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