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TCR-SCR Owner Manual (REV. 03.7)</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6086963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776044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8788558" w:name="ctxt"/>
    <w:bookmarkEnd w:id="88788558"/>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921600" cy="842400"/>
                        <wp:effectExtent b="0" l="0" r="0" t="0"/>
                        <wp:docPr id="15741971" name="name1796677e6f890c212"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6740677e6f890c20e" cstate="print"/>
                                <a:stretch>
                                  <a:fillRect/>
                                </a:stretch>
                              </pic:blipFill>
                              <pic:spPr>
                                <a:xfrm>
                                  <a:off x="0" y="0"/>
                                  <a:ext cx="92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 SCR</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40893851" w:name="result_box"/>
                <w:bookmarkEnd w:id="40893851"/>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54879094" w:name="result_box"/>
                <w:bookmarkEnd w:id="54879094"/>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r>
              <w:rPr>
                <w:position w:val="-245"/>
              </w:rPr>
              <w:drawing>
                <wp:inline distT="0" distB="0" distL="0" distR="0">
                  <wp:extent cx="5040000" cy="3117600"/>
                  <wp:effectExtent b="0" l="0" r="0" t="0"/>
                  <wp:docPr id="96791174" name="name7363677e6f891b2bb"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9768677e6f891b2b7" cstate="print"/>
                          <a:stretch>
                            <a:fillRect/>
                          </a:stretch>
                        </pic:blipFill>
                        <pic:spPr>
                          <a:xfrm>
                            <a:off x="0" y="0"/>
                            <a:ext cx="5040000" cy="3117600"/>
                          </a:xfrm>
                          <a:prstGeom prst="rect">
                            <a:avLst/>
                          </a:prstGeom>
                          <a:ln w="0">
                            <a:noFill/>
                          </a:ln>
                        </pic:spPr>
                      </pic:pic>
                    </a:graphicData>
                  </a:graphic>
                </wp:inline>
              </w:drawing>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897546" name="name3986677e6f89247b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260677e6f89247b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3511"/>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3511"/>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3511"/>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3511"/>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3511"/>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1360262" name="name3178677e6f892b58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99677e6f892b58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3511"/>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3511"/>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3511"/>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3511"/>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3511"/>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3511"/>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3511"/>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3511"/>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29735006" name="name8597677e6f893ac78"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210677e6f893ac75"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47516504" name="name5337677e6f8944619"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9149677e6f8944615"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3511"/>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3511"/>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3511"/>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DEF</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Mar>
              <w:top w:w="150" w:type="dxa"/>
              <w:left w:w="150" w:type="dxa"/>
              <w:bottom w:w="150" w:type="dxa"/>
              <w:right w:w="150" w:type="dxa"/>
            </w:tcMar>
            <w:vAlign w:val="center"/>
          </w:tcPr>
          <w:p>
            <w:pPr>
              <w:numPr>
                <w:ilvl w:val="0"/>
                <w:numId w:val="3513"/>
              </w:numPr>
              <w:spacing w:before="0" w:after="0" w:line="262" w:lineRule="auto"/>
              <w:jc w:val="left"/>
              <w:rPr>
                <w:color w:val="00274C"/>
                <w:sz w:val="20"/>
                <w:szCs w:val="20"/>
              </w:rPr>
            </w:pPr>
            <w:r>
              <w:rPr>
                <w:color w:val="00274C"/>
                <w:position w:val="-2"/>
                <w:sz w:val="20"/>
                <w:szCs w:val="20"/>
                <w:u w:val="none"/>
              </w:rPr>
              <w:t xml:space="preserve">Also known as "AUS 32" in Europe, "DEF" or "Urea Solution" in the USA, it is registered with the “AdBlue </w:t>
            </w:r>
            <w:r>
              <w:rPr>
                <w:color w:val="00274C"/>
                <w:position w:val="3"/>
                <w:sz w:val="17"/>
                <w:szCs w:val="17"/>
                <w:u w:val="none"/>
                <w:vertAlign w:val="superscript"/>
                <w:vertAlign w:val="superscript"/>
              </w:rPr>
              <w:t xml:space="preserve">®</w:t>
            </w:r>
            <w:r>
              <w:rPr>
                <w:color w:val="00274C"/>
                <w:position w:val="-2"/>
                <w:sz w:val="20"/>
                <w:szCs w:val="20"/>
                <w:u w:val="none"/>
              </w:rPr>
              <w:t xml:space="preserve"> ” brand at the Verband der Automobilindustrie (VDA), and must comply with the following ISO standards:</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ISO 22241-1 Quality requirements</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ISO 22241-2 Test Methods</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ISO 22241-3 Handling, transportation and Storing</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ISO 22241-4 Refilling Interface</w:t>
            </w:r>
          </w:p>
          <w:p>
            <w:pPr>
              <w:numPr>
                <w:ilvl w:val="0"/>
                <w:numId w:val="3514"/>
              </w:numPr>
              <w:spacing w:before="0" w:after="0" w:line="262" w:lineRule="auto"/>
              <w:jc w:val="left"/>
              <w:rPr>
                <w:color w:val="00274C"/>
                <w:sz w:val="20"/>
                <w:szCs w:val="20"/>
              </w:rPr>
            </w:pPr>
            <w:r>
              <w:rPr>
                <w:color w:val="00274C"/>
                <w:position w:val="-2"/>
                <w:sz w:val="20"/>
                <w:szCs w:val="20"/>
                <w:u w:val="none"/>
              </w:rPr>
              <w:t xml:space="preserve">The DEF tank must be filled by means of the specific automatic filling nozzle at the authorised distributors, refer to the car manual for refilling operations.</w:t>
            </w:r>
          </w:p>
          <w:p>
            <w:pPr>
              <w:numPr>
                <w:ilvl w:val="0"/>
                <w:numId w:val="3514"/>
              </w:numPr>
              <w:spacing w:before="0" w:after="0" w:line="262" w:lineRule="auto"/>
              <w:jc w:val="left"/>
              <w:rPr>
                <w:color w:val="00274C"/>
                <w:sz w:val="20"/>
                <w:szCs w:val="20"/>
              </w:rPr>
            </w:pPr>
            <w:r>
              <w:rPr>
                <w:color w:val="00274C"/>
                <w:position w:val="-2"/>
                <w:sz w:val="20"/>
                <w:szCs w:val="20"/>
                <w:u w:val="none"/>
              </w:rPr>
              <w:t xml:space="preserve">Upon refilling, comply with the MAX level indicated on the tank.</w:t>
            </w:r>
          </w:p>
          <w:p>
            <w:pPr>
              <w:numPr>
                <w:ilvl w:val="0"/>
                <w:numId w:val="3514"/>
              </w:numPr>
              <w:spacing w:before="0" w:after="0" w:line="262" w:lineRule="auto"/>
              <w:jc w:val="left"/>
              <w:rPr>
                <w:color w:val="00274C"/>
                <w:sz w:val="20"/>
                <w:szCs w:val="20"/>
              </w:rPr>
            </w:pPr>
            <w:r>
              <w:rPr>
                <w:color w:val="00274C"/>
                <w:position w:val="-2"/>
                <w:sz w:val="20"/>
                <w:szCs w:val="20"/>
                <w:u w:val="none"/>
              </w:rPr>
              <w:t xml:space="preserve">During the refilling operations prevent any impurity from entering the tank.</w:t>
            </w:r>
          </w:p>
          <w:p>
            <w:pPr>
              <w:numPr>
                <w:ilvl w:val="0"/>
                <w:numId w:val="3514"/>
              </w:numPr>
              <w:spacing w:before="0" w:after="0" w:line="262" w:lineRule="auto"/>
              <w:jc w:val="left"/>
              <w:rPr>
                <w:color w:val="00274C"/>
                <w:sz w:val="20"/>
                <w:szCs w:val="20"/>
              </w:rPr>
            </w:pPr>
            <w:r>
              <w:rPr>
                <w:color w:val="00274C"/>
                <w:position w:val="-2"/>
                <w:sz w:val="20"/>
                <w:szCs w:val="20"/>
                <w:u w:val="none"/>
              </w:rPr>
              <w:t xml:space="preserve">At tank inlet there is a filter that must be periodically cleaned or replaced (see maintenance and replacement table - for tank supplied by Kohler only).</w:t>
            </w:r>
          </w:p>
          <w:p>
            <w:pPr>
              <w:numPr>
                <w:ilvl w:val="0"/>
                <w:numId w:val="3514"/>
              </w:numPr>
              <w:spacing w:before="0" w:after="0" w:line="262" w:lineRule="auto"/>
              <w:jc w:val="left"/>
              <w:rPr>
                <w:color w:val="00274C"/>
                <w:sz w:val="20"/>
                <w:szCs w:val="20"/>
              </w:rPr>
            </w:pPr>
            <w:r>
              <w:rPr>
                <w:color w:val="00274C"/>
                <w:position w:val="-2"/>
                <w:sz w:val="20"/>
                <w:szCs w:val="20"/>
                <w:u w:val="none"/>
              </w:rPr>
              <w:t xml:space="preserve">DEF quality must comply with the specifications described in Table 2.5.</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5899350" name="name7871677e6f895895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5137677e6f895894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Warning</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Do not mix DEF with fuel or other liquids (including water) and do not fill the fuel tank with DEF.</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The presence of DEF inside the specific tank is required to start the engine.</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Purchase in containers: the container, even if opened, can be stocked with the same conditions of a sealed container.</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Do not stock the container with a temperature higher than 35°C as this could alter the DEF.</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In case of DEF freezing inside the container (&lt; -11,5 °C | 11,3 °F), DEF can be used when it returns to its liquid state.</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Do not expose DEF to direct sunlight.</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In case of opening and closing of the original purchase container, DEF must be checked through a spectrometer to check its quality before use.</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Do not insert altered DEF in the tank as the engine could not respect the emission parameters, generate DCU errors and as a consequence turn off or fail to start the engine.</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PARAMETERS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Title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31,8 ÷ 33,2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Density at 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1.087 ÷ 1.093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Refraction index at 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1,3814 ÷ 1,3843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Alkalinity like NH3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Biuret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Aldehyde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Insoluble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20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Phosphates like PO4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Calcium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Iron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Copper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Zinc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Chrome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Nickel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Aluminium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Magnesium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Sodium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Potassium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Freezing point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11</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89794331" name="name7663677e6f896a3a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054677e6f896a39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Battery not supplied by Kohler</w:t>
            </w:r>
          </w:p>
          <w:p/>
          <w:p/>
          <w:p>
            <w:pPr>
              <w:widowControl w:val="on"/>
              <w:pBdr/>
              <w:spacing w:before="0" w:after="0" w:line="262" w:lineRule="auto"/>
              <w:ind w:left="0" w:right="0"/>
              <w:jc w:val="left"/>
              <w:textAlignment w:val="center"/>
            </w:pPr>
            <w:r>
              <w:rPr>
                <w:b/>
                <w:bCs/>
                <w:color w:val="00274C"/>
                <w:position w:val="-2"/>
                <w:sz w:val="20"/>
                <w:szCs w:val="20"/>
                <w:u w:val="none"/>
              </w:rPr>
              <w:t xml:space="preserve">2.6</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STARTER MOTOR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OIL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MACHINE CONDITION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3.2kW + HEATER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880CCA SAE (=1000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light hydraulic parasitic loads or mechanical clutch and gearbox </w:t>
                  </w:r>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4.2kW + HEATER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1000CCA SAE =(1250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heavy hydraulic parasitic loads </w:t>
                  </w:r>
                </w:p>
                <w:p/>
              </w:tc>
            </w:tr>
          </w:tbl>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Inducement strategy of ATS system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 inducement is the operation aimed at reducing the engine performance due to a malfunction or tampering with the ATS system detected by the DCU.</w:t>
            </w:r>
            <w:r>
              <w:rPr>
                <w:color w:val="00274C"/>
                <w:position w:val="-2"/>
                <w:sz w:val="20"/>
                <w:szCs w:val="20"/>
                <w:u w:val="none"/>
              </w:rPr>
              <w:br/>
              <w:br/>
              <w:t xml:space="preserve">The inducement degree is decided by the ECU according to the error detected by the DCU.</w:t>
            </w:r>
            <w:r>
              <w:rPr>
                <w:color w:val="00274C"/>
                <w:position w:val="-2"/>
                <w:sz w:val="20"/>
                <w:szCs w:val="20"/>
                <w:u w:val="none"/>
              </w:rPr>
              <w:br/>
              <w:br/>
              <w:br/>
              <w:br/>
              <w:t xml:space="preserve">The information on the car panel or the activation of the inducement can occur for the following reasons: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Low DEF level</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Poor DEF quality</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Interruption of DEF supply</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EGR valve malfunctioning</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Tampering with the monitoring systems of the ATS system.</w:t>
            </w:r>
          </w:p>
          <w:p>
            <w:pPr>
              <w:widowControl w:val="on"/>
              <w:pBdr/>
              <w:spacing w:before="0" w:after="0" w:line="240" w:lineRule="auto"/>
              <w:ind w:left="0" w:right="0"/>
              <w:jc w:val="left"/>
            </w:pPr>
            <w:r>
              <w:rPr>
                <w:color w:val="00274C"/>
                <w:position w:val="-2"/>
                <w:sz w:val="20"/>
                <w:szCs w:val="20"/>
                <w:u w:val="none"/>
              </w:rPr>
              <w:t xml:space="preserve">
The inducement strategy is applied according to: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detected problem</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hours passed.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 Hours are reset after 40h if the DCU does not detect any fault, otherwise the hours are added to those already counted. For low DEF level, activation depends on the percentage of liquid inside the DEF tank, and the fault hours are not counted.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The strategy for the different faults is listed below (Stage V - EU):</w:t>
            </w:r>
          </w:p>
          <w:p/>
          <w:p/>
          <w:p>
            <w:pPr>
              <w:widowControl w:val="on"/>
              <w:pBdr/>
              <w:spacing w:before="0" w:after="0" w:line="262" w:lineRule="auto"/>
              <w:ind w:left="0" w:right="0"/>
              <w:jc w:val="left"/>
              <w:textAlignment w:val="center"/>
            </w:pPr>
            <w:r>
              <w:rPr>
                <w:color w:val="00274C"/>
                <w:position w:val="-2"/>
                <w:sz w:val="20"/>
                <w:szCs w:val="20"/>
                <w:u w:val="none"/>
              </w:rPr>
              <w:t xml:space="preserve">The inducement can have the following 2 levels:</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25% reduction of the MAX available torque.</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50% reduction of the MAX available torque and 40% reduction of MAX rpm available.</w:t>
            </w:r>
          </w:p>
          <w:p/>
          <w:p>
            <w:pPr>
              <w:widowControl w:val="on"/>
              <w:pBdr/>
              <w:spacing w:before="0" w:after="0" w:line="240" w:lineRule="auto"/>
              <w:ind w:left="0" w:right="0"/>
              <w:jc w:val="left"/>
            </w:pPr>
            <w:r>
              <w:rPr>
                <w:color w:val="00274C"/>
                <w:position w:val="-2"/>
                <w:sz w:val="20"/>
                <w:szCs w:val="20"/>
                <w:u w:val="none"/>
              </w:rPr>
              <w:t xml:space="preserve">
Before activating the inducement (level 1 or level 2) the ECU activates a warning or a warning light on the car panel (refer to the car documentation for the warning type).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Low DEF level</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information activation on car panel: &lt;10% of MAX level</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inducement: &lt;2.5% of MAX level</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inducement: 0% of MAX level</w:t>
            </w:r>
          </w:p>
          <w:p>
            <w:pPr>
              <w:widowControl w:val="on"/>
              <w:pBdr/>
              <w:spacing w:before="0" w:after="0" w:line="240" w:lineRule="auto"/>
              <w:ind w:left="0" w:right="0"/>
              <w:jc w:val="left"/>
            </w:pPr>
            <w:r>
              <w:rPr>
                <w:b/>
                <w:bCs/>
                <w:i/>
                <w:iCs/>
                <w:color w:val="00274C"/>
                <w:position w:val="-2"/>
                <w:sz w:val="20"/>
                <w:szCs w:val="20"/>
                <w:u w:val="none"/>
              </w:rPr>
              <w:t xml:space="preserve">Poor DEF quality</w:t>
            </w:r>
          </w:p>
          <w:p>
            <w:pPr>
              <w:numPr>
                <w:ilvl w:val="0"/>
                <w:numId w:val="351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inducement: after 10h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inducement: after 20h from fault detection</w:t>
            </w:r>
          </w:p>
          <w:p>
            <w:pPr>
              <w:widowControl w:val="on"/>
              <w:pBdr/>
              <w:spacing w:before="0" w:after="0" w:line="240" w:lineRule="auto"/>
              <w:ind w:left="0" w:right="0"/>
              <w:jc w:val="left"/>
            </w:pPr>
            <w:r>
              <w:rPr>
                <w:b/>
                <w:bCs/>
                <w:i/>
                <w:iCs/>
                <w:color w:val="00274C"/>
                <w:position w:val="-2"/>
                <w:sz w:val="20"/>
                <w:szCs w:val="20"/>
                <w:u w:val="none"/>
              </w:rPr>
              <w:t xml:space="preserve">Interruption of DEF supply</w:t>
            </w:r>
          </w:p>
          <w:p>
            <w:pPr>
              <w:numPr>
                <w:ilvl w:val="0"/>
                <w:numId w:val="351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inducement: after 10h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inducement: after 20h from fault detection</w:t>
            </w:r>
          </w:p>
          <w:p>
            <w:pPr>
              <w:widowControl w:val="on"/>
              <w:pBdr/>
              <w:spacing w:before="0" w:after="0" w:line="240" w:lineRule="auto"/>
              <w:ind w:left="0" w:right="0"/>
              <w:jc w:val="left"/>
            </w:pPr>
            <w:r>
              <w:rPr>
                <w:b/>
                <w:bCs/>
                <w:i/>
                <w:iCs/>
                <w:color w:val="00274C"/>
                <w:position w:val="-2"/>
                <w:sz w:val="20"/>
                <w:szCs w:val="20"/>
                <w:u w:val="none"/>
              </w:rPr>
              <w:t xml:space="preserve">EGR valve malfunctioning</w:t>
            </w:r>
          </w:p>
          <w:p>
            <w:pPr>
              <w:numPr>
                <w:ilvl w:val="0"/>
                <w:numId w:val="351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inducement: after 36h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inducement: after 100h from fault detection</w:t>
            </w:r>
          </w:p>
          <w:p>
            <w:pPr>
              <w:widowControl w:val="on"/>
              <w:pBdr/>
              <w:spacing w:before="0" w:after="0" w:line="240" w:lineRule="auto"/>
              <w:ind w:left="0" w:right="0"/>
              <w:jc w:val="left"/>
            </w:pPr>
            <w:r>
              <w:rPr>
                <w:b/>
                <w:bCs/>
                <w:i/>
                <w:iCs/>
                <w:color w:val="00274C"/>
                <w:position w:val="-2"/>
                <w:sz w:val="20"/>
                <w:szCs w:val="20"/>
                <w:u w:val="none"/>
              </w:rPr>
              <w:t xml:space="preserve">Tampering with the monitoring systems of the ATS system</w:t>
            </w:r>
          </w:p>
          <w:p>
            <w:pPr>
              <w:numPr>
                <w:ilvl w:val="0"/>
                <w:numId w:val="351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inducement: after 36h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inducement: after 100h from fault detection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The strategy for the different faults is listed below (Tier 4 Final - USA):</w:t>
            </w:r>
          </w:p>
          <w:p/>
          <w:p/>
          <w:p>
            <w:pPr>
              <w:widowControl w:val="on"/>
              <w:pBdr/>
              <w:spacing w:before="0" w:after="0" w:line="262" w:lineRule="auto"/>
              <w:ind w:left="0" w:right="0"/>
              <w:jc w:val="left"/>
              <w:textAlignment w:val="center"/>
            </w:pPr>
            <w:r>
              <w:rPr>
                <w:color w:val="00274C"/>
                <w:position w:val="-2"/>
                <w:sz w:val="20"/>
                <w:szCs w:val="20"/>
                <w:u w:val="none"/>
              </w:rPr>
              <w:t xml:space="preserve">The inducement can have the following 3 levels:</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25% reduction of the MAX available torque.</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50% reduction of the MAX available torque and 40% reduction of MAX rpm available.</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3: the engine operates at minimum rpm and MAX torque available</w:t>
            </w:r>
          </w:p>
          <w:p/>
          <w:p>
            <w:pPr>
              <w:widowControl w:val="on"/>
              <w:pBdr/>
              <w:spacing w:before="0" w:after="0" w:line="240" w:lineRule="auto"/>
              <w:ind w:left="0" w:right="0"/>
              <w:jc w:val="left"/>
            </w:pPr>
            <w:r>
              <w:rPr>
                <w:color w:val="00274C"/>
                <w:position w:val="-2"/>
                <w:sz w:val="20"/>
                <w:szCs w:val="20"/>
                <w:u w:val="none"/>
              </w:rPr>
              <w:t xml:space="preserve">
Before activating the inducement (level 1, level 2 or level 3) the ECU activates a warning or a warning light on the car panel (refer to the car documentation for the warning type).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Low DEF level</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information activation on car panel: &lt;10% of MAX level</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inducement: &lt;5% of MAX level</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inducement: &lt;2.5% of MAX level</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3 inducement: &lt;0.5% of MAX level</w:t>
            </w:r>
          </w:p>
          <w:p>
            <w:pPr>
              <w:widowControl w:val="on"/>
              <w:pBdr/>
              <w:spacing w:before="0" w:after="0" w:line="240" w:lineRule="auto"/>
              <w:ind w:left="0" w:right="0"/>
              <w:jc w:val="left"/>
            </w:pPr>
            <w:r>
              <w:rPr>
                <w:b/>
                <w:bCs/>
                <w:i/>
                <w:iCs/>
                <w:color w:val="00274C"/>
                <w:position w:val="-2"/>
                <w:sz w:val="20"/>
                <w:szCs w:val="20"/>
                <w:u w:val="none"/>
              </w:rPr>
              <w:t xml:space="preserve">Poor DEF quality</w:t>
            </w:r>
          </w:p>
          <w:p>
            <w:pPr>
              <w:numPr>
                <w:ilvl w:val="0"/>
                <w:numId w:val="351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Interruption of DEF supply</w:t>
            </w:r>
          </w:p>
          <w:p>
            <w:pPr>
              <w:numPr>
                <w:ilvl w:val="0"/>
                <w:numId w:val="351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EGR valve malfunctioning</w:t>
            </w:r>
          </w:p>
          <w:p>
            <w:pPr>
              <w:numPr>
                <w:ilvl w:val="0"/>
                <w:numId w:val="351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Tampering with the monitoring systems of the ATS system</w:t>
            </w:r>
          </w:p>
          <w:p>
            <w:pPr>
              <w:numPr>
                <w:ilvl w:val="0"/>
                <w:numId w:val="351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3511"/>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3514">
    <w:multiLevelType w:val="hybridMultilevel"/>
    <w:lvl w:ilvl="0" w:tplc="34312102">
      <w:start w:val="1"/>
      <w:numFmt w:val="decimal"/>
      <w:lvlText w:val="%1."/>
      <w:lvlJc w:val="left"/>
      <w:pPr>
        <w:ind w:left="720" w:hanging="360"/>
      </w:pPr>
    </w:lvl>
    <w:lvl w:ilvl="1" w:tplc="34312102" w:tentative="1">
      <w:start w:val="1"/>
      <w:numFmt w:val="lowerLetter"/>
      <w:lvlText w:val="%2."/>
      <w:lvlJc w:val="left"/>
      <w:pPr>
        <w:ind w:left="1440" w:hanging="360"/>
      </w:pPr>
    </w:lvl>
    <w:lvl w:ilvl="2" w:tplc="34312102" w:tentative="1">
      <w:start w:val="1"/>
      <w:numFmt w:val="lowerRoman"/>
      <w:lvlText w:val="%3."/>
      <w:lvlJc w:val="right"/>
      <w:pPr>
        <w:ind w:left="2160" w:hanging="180"/>
      </w:pPr>
    </w:lvl>
    <w:lvl w:ilvl="3" w:tplc="34312102" w:tentative="1">
      <w:start w:val="1"/>
      <w:numFmt w:val="decimal"/>
      <w:lvlText w:val="%4."/>
      <w:lvlJc w:val="left"/>
      <w:pPr>
        <w:ind w:left="2880" w:hanging="360"/>
      </w:pPr>
    </w:lvl>
    <w:lvl w:ilvl="4" w:tplc="34312102" w:tentative="1">
      <w:start w:val="1"/>
      <w:numFmt w:val="lowerLetter"/>
      <w:lvlText w:val="%5."/>
      <w:lvlJc w:val="left"/>
      <w:pPr>
        <w:ind w:left="3600" w:hanging="360"/>
      </w:pPr>
    </w:lvl>
    <w:lvl w:ilvl="5" w:tplc="34312102" w:tentative="1">
      <w:start w:val="1"/>
      <w:numFmt w:val="lowerRoman"/>
      <w:lvlText w:val="%6."/>
      <w:lvlJc w:val="right"/>
      <w:pPr>
        <w:ind w:left="4320" w:hanging="180"/>
      </w:pPr>
    </w:lvl>
    <w:lvl w:ilvl="6" w:tplc="34312102" w:tentative="1">
      <w:start w:val="1"/>
      <w:numFmt w:val="decimal"/>
      <w:lvlText w:val="%7."/>
      <w:lvlJc w:val="left"/>
      <w:pPr>
        <w:ind w:left="5040" w:hanging="360"/>
      </w:pPr>
    </w:lvl>
    <w:lvl w:ilvl="7" w:tplc="34312102" w:tentative="1">
      <w:start w:val="1"/>
      <w:numFmt w:val="lowerLetter"/>
      <w:lvlText w:val="%8."/>
      <w:lvlJc w:val="left"/>
      <w:pPr>
        <w:ind w:left="5760" w:hanging="360"/>
      </w:pPr>
    </w:lvl>
    <w:lvl w:ilvl="8" w:tplc="34312102" w:tentative="1">
      <w:start w:val="1"/>
      <w:numFmt w:val="lowerRoman"/>
      <w:lvlText w:val="%9."/>
      <w:lvlJc w:val="right"/>
      <w:pPr>
        <w:ind w:left="6480" w:hanging="180"/>
      </w:pPr>
    </w:lvl>
  </w:abstractNum>
  <w:abstractNum w:abstractNumId="3513">
    <w:multiLevelType w:val="hybridMultilevel"/>
    <w:lvl w:ilvl="0" w:tplc="43146691">
      <w:start w:val="1"/>
      <w:numFmt w:val="decimal"/>
      <w:lvlText w:val="%1."/>
      <w:lvlJc w:val="left"/>
      <w:pPr>
        <w:ind w:left="720" w:hanging="360"/>
      </w:pPr>
    </w:lvl>
    <w:lvl w:ilvl="1" w:tplc="43146691" w:tentative="1">
      <w:start w:val="1"/>
      <w:numFmt w:val="lowerLetter"/>
      <w:lvlText w:val="%2."/>
      <w:lvlJc w:val="left"/>
      <w:pPr>
        <w:ind w:left="1440" w:hanging="360"/>
      </w:pPr>
    </w:lvl>
    <w:lvl w:ilvl="2" w:tplc="43146691" w:tentative="1">
      <w:start w:val="1"/>
      <w:numFmt w:val="lowerRoman"/>
      <w:lvlText w:val="%3."/>
      <w:lvlJc w:val="right"/>
      <w:pPr>
        <w:ind w:left="2160" w:hanging="180"/>
      </w:pPr>
    </w:lvl>
    <w:lvl w:ilvl="3" w:tplc="43146691" w:tentative="1">
      <w:start w:val="1"/>
      <w:numFmt w:val="decimal"/>
      <w:lvlText w:val="%4."/>
      <w:lvlJc w:val="left"/>
      <w:pPr>
        <w:ind w:left="2880" w:hanging="360"/>
      </w:pPr>
    </w:lvl>
    <w:lvl w:ilvl="4" w:tplc="43146691" w:tentative="1">
      <w:start w:val="1"/>
      <w:numFmt w:val="lowerLetter"/>
      <w:lvlText w:val="%5."/>
      <w:lvlJc w:val="left"/>
      <w:pPr>
        <w:ind w:left="3600" w:hanging="360"/>
      </w:pPr>
    </w:lvl>
    <w:lvl w:ilvl="5" w:tplc="43146691" w:tentative="1">
      <w:start w:val="1"/>
      <w:numFmt w:val="lowerRoman"/>
      <w:lvlText w:val="%6."/>
      <w:lvlJc w:val="right"/>
      <w:pPr>
        <w:ind w:left="4320" w:hanging="180"/>
      </w:pPr>
    </w:lvl>
    <w:lvl w:ilvl="6" w:tplc="43146691" w:tentative="1">
      <w:start w:val="1"/>
      <w:numFmt w:val="decimal"/>
      <w:lvlText w:val="%7."/>
      <w:lvlJc w:val="left"/>
      <w:pPr>
        <w:ind w:left="5040" w:hanging="360"/>
      </w:pPr>
    </w:lvl>
    <w:lvl w:ilvl="7" w:tplc="43146691" w:tentative="1">
      <w:start w:val="1"/>
      <w:numFmt w:val="lowerLetter"/>
      <w:lvlText w:val="%8."/>
      <w:lvlJc w:val="left"/>
      <w:pPr>
        <w:ind w:left="5760" w:hanging="360"/>
      </w:pPr>
    </w:lvl>
    <w:lvl w:ilvl="8" w:tplc="43146691" w:tentative="1">
      <w:start w:val="1"/>
      <w:numFmt w:val="lowerRoman"/>
      <w:lvlText w:val="%9."/>
      <w:lvlJc w:val="right"/>
      <w:pPr>
        <w:ind w:left="6480" w:hanging="180"/>
      </w:pPr>
    </w:lvl>
  </w:abstractNum>
  <w:abstractNum w:abstractNumId="3512">
    <w:multiLevelType w:val="hybridMultilevel"/>
    <w:lvl w:ilvl="0" w:tplc="14245930">
      <w:start w:val="1"/>
      <w:numFmt w:val="decimal"/>
      <w:lvlText w:val="%1."/>
      <w:lvlJc w:val="left"/>
      <w:pPr>
        <w:ind w:left="720" w:hanging="360"/>
      </w:pPr>
    </w:lvl>
    <w:lvl w:ilvl="1" w:tplc="14245930" w:tentative="1">
      <w:start w:val="1"/>
      <w:numFmt w:val="lowerLetter"/>
      <w:lvlText w:val="%2."/>
      <w:lvlJc w:val="left"/>
      <w:pPr>
        <w:ind w:left="1440" w:hanging="360"/>
      </w:pPr>
    </w:lvl>
    <w:lvl w:ilvl="2" w:tplc="14245930" w:tentative="1">
      <w:start w:val="1"/>
      <w:numFmt w:val="lowerRoman"/>
      <w:lvlText w:val="%3."/>
      <w:lvlJc w:val="right"/>
      <w:pPr>
        <w:ind w:left="2160" w:hanging="180"/>
      </w:pPr>
    </w:lvl>
    <w:lvl w:ilvl="3" w:tplc="14245930" w:tentative="1">
      <w:start w:val="1"/>
      <w:numFmt w:val="decimal"/>
      <w:lvlText w:val="%4."/>
      <w:lvlJc w:val="left"/>
      <w:pPr>
        <w:ind w:left="2880" w:hanging="360"/>
      </w:pPr>
    </w:lvl>
    <w:lvl w:ilvl="4" w:tplc="14245930" w:tentative="1">
      <w:start w:val="1"/>
      <w:numFmt w:val="lowerLetter"/>
      <w:lvlText w:val="%5."/>
      <w:lvlJc w:val="left"/>
      <w:pPr>
        <w:ind w:left="3600" w:hanging="360"/>
      </w:pPr>
    </w:lvl>
    <w:lvl w:ilvl="5" w:tplc="14245930" w:tentative="1">
      <w:start w:val="1"/>
      <w:numFmt w:val="lowerRoman"/>
      <w:lvlText w:val="%6."/>
      <w:lvlJc w:val="right"/>
      <w:pPr>
        <w:ind w:left="4320" w:hanging="180"/>
      </w:pPr>
    </w:lvl>
    <w:lvl w:ilvl="6" w:tplc="14245930" w:tentative="1">
      <w:start w:val="1"/>
      <w:numFmt w:val="decimal"/>
      <w:lvlText w:val="%7."/>
      <w:lvlJc w:val="left"/>
      <w:pPr>
        <w:ind w:left="5040" w:hanging="360"/>
      </w:pPr>
    </w:lvl>
    <w:lvl w:ilvl="7" w:tplc="14245930" w:tentative="1">
      <w:start w:val="1"/>
      <w:numFmt w:val="lowerLetter"/>
      <w:lvlText w:val="%8."/>
      <w:lvlJc w:val="left"/>
      <w:pPr>
        <w:ind w:left="5760" w:hanging="360"/>
      </w:pPr>
    </w:lvl>
    <w:lvl w:ilvl="8" w:tplc="14245930" w:tentative="1">
      <w:start w:val="1"/>
      <w:numFmt w:val="lowerRoman"/>
      <w:lvlText w:val="%9."/>
      <w:lvlJc w:val="right"/>
      <w:pPr>
        <w:ind w:left="6480" w:hanging="180"/>
      </w:pPr>
    </w:lvl>
  </w:abstractNum>
  <w:abstractNum w:abstractNumId="3511">
    <w:multiLevelType w:val="hybridMultilevel"/>
    <w:lvl w:ilvl="0" w:tplc="74398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3511">
    <w:abstractNumId w:val="3511"/>
  </w:num>
  <w:num w:numId="3512">
    <w:abstractNumId w:val="3512"/>
  </w:num>
  <w:num w:numId="3513">
    <w:abstractNumId w:val="3513"/>
  </w:num>
  <w:num w:numId="3514">
    <w:abstractNumId w:val="35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37499164" Type="http://schemas.openxmlformats.org/officeDocument/2006/relationships/comments" Target="comments.xml"/><Relationship Id="rId909801676" Type="http://schemas.microsoft.com/office/2011/relationships/commentsExtended" Target="commentsExtended.xml"/><Relationship Id="rId47760441" Type="http://schemas.openxmlformats.org/officeDocument/2006/relationships/image" Target="media/imgrId47760441.jpg"/><Relationship Id="rId6740677e6f890c20e" Type="http://schemas.openxmlformats.org/officeDocument/2006/relationships/image" Target="media/imgrId6740677e6f890c20e.jpg"/><Relationship Id="rId9768677e6f891b2b7" Type="http://schemas.openxmlformats.org/officeDocument/2006/relationships/image" Target="media/imgrId9768677e6f891b2b7.jpg"/><Relationship Id="rId6260677e6f89247b4" Type="http://schemas.openxmlformats.org/officeDocument/2006/relationships/image" Target="media/imgrId6260677e6f89247b4.jpg"/><Relationship Id="rId8399677e6f892b587" Type="http://schemas.openxmlformats.org/officeDocument/2006/relationships/image" Target="media/imgrId8399677e6f892b587.jpg"/><Relationship Id="rId9210677e6f893ac75" Type="http://schemas.openxmlformats.org/officeDocument/2006/relationships/image" Target="media/imgrId9210677e6f893ac75.png"/><Relationship Id="rId9149677e6f8944615" Type="http://schemas.openxmlformats.org/officeDocument/2006/relationships/image" Target="media/imgrId9149677e6f8944615.png"/><Relationship Id="rId5137677e6f895894b" Type="http://schemas.openxmlformats.org/officeDocument/2006/relationships/image" Target="media/imgrId5137677e6f895894b.png"/><Relationship Id="rId3054677e6f896a39d" Type="http://schemas.openxmlformats.org/officeDocument/2006/relationships/image" Target="media/imgrId3054677e6f896a39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7760441" Type="http://schemas.openxmlformats.org/officeDocument/2006/relationships/image" Target="media/imgrId4776044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7760441" Type="http://schemas.openxmlformats.org/officeDocument/2006/relationships/image" Target="media/imgrId4776044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7760441" Type="http://schemas.openxmlformats.org/officeDocument/2006/relationships/image" Target="media/imgrId4776044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7760441" Type="http://schemas.openxmlformats.org/officeDocument/2006/relationships/image" Target="media/imgrId4776044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7760441" Type="http://schemas.openxmlformats.org/officeDocument/2006/relationships/image" Target="media/imgrId4776044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7760441" Type="http://schemas.openxmlformats.org/officeDocument/2006/relationships/image" Target="media/imgrId4776044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