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 M Workshop manual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209917251"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4872414"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ED005302-960</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72159630" w:name="ctxt"/>
    <w:bookmarkEnd w:id="72159630"/>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Useful information</w:t>
      </w:r>
    </w:p>
    <w:p>
      <w:pPr>
        <w:numPr>
          <w:ilvl w:val="0"/>
          <w:numId w:val="28535"/>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8535"/>
        </w:numPr>
        <w:spacing w:before="0" w:after="0" w:line="240" w:lineRule="auto"/>
        <w:jc w:val="left"/>
        <w:rPr>
          <w:color w:val="00274C"/>
          <w:sz w:val="20"/>
          <w:szCs w:val="20"/>
        </w:rPr>
      </w:pPr>
      <w:bookmarkStart w:id="65879446" w:name="result_box"/>
      <w:bookmarkEnd w:id="65879446"/>
      <w:r>
        <w:rPr>
          <w:color w:val="00274C"/>
          <w:sz w:val="20"/>
          <w:szCs w:val="20"/>
          <w:u w:val="none"/>
        </w:rPr>
        <w:t xml:space="preserve">The information,</w:t>
      </w:r>
      <w:r>
        <w:rPr>
          <w:color w:val="00274C"/>
          <w:sz w:val="20"/>
          <w:szCs w:val="20"/>
          <w:u w:val="none"/>
        </w:rPr>
        <w:t xml:space="preserve"> </w:t>
      </w:r>
      <w:r>
        <w:rPr>
          <w:color w:val="00274C"/>
          <w:sz w:val="20"/>
          <w:szCs w:val="20"/>
          <w:u w:val="none"/>
        </w:rPr>
        <w:t xml:space="preserve">descriptions and illustrations</w:t>
      </w:r>
      <w:r>
        <w:rPr>
          <w:color w:val="00274C"/>
          <w:sz w:val="20"/>
          <w:szCs w:val="20"/>
          <w:u w:val="none"/>
        </w:rPr>
        <w:t xml:space="preserve"> </w:t>
      </w:r>
      <w:r>
        <w:rPr>
          <w:color w:val="00274C"/>
          <w:sz w:val="20"/>
          <w:szCs w:val="20"/>
          <w:u w:val="none"/>
        </w:rPr>
        <w:t xml:space="preserve">contained</w:t>
      </w:r>
      <w:r>
        <w:rPr>
          <w:color w:val="00274C"/>
          <w:sz w:val="20"/>
          <w:szCs w:val="20"/>
          <w:u w:val="none"/>
        </w:rPr>
        <w:t xml:space="preserve"> </w:t>
      </w:r>
      <w:r>
        <w:rPr>
          <w:color w:val="00274C"/>
          <w:sz w:val="20"/>
          <w:szCs w:val="20"/>
          <w:u w:val="none"/>
        </w:rPr>
        <w:t xml:space="preserve">in this manual reflect</w:t>
      </w:r>
      <w:r>
        <w:rPr>
          <w:color w:val="00274C"/>
          <w:sz w:val="20"/>
          <w:szCs w:val="20"/>
          <w:u w:val="none"/>
        </w:rPr>
        <w:t xml:space="preserve"> </w:t>
      </w:r>
      <w:r>
        <w:rPr>
          <w:color w:val="00274C"/>
          <w:sz w:val="20"/>
          <w:szCs w:val="20"/>
          <w:u w:val="none"/>
        </w:rPr>
        <w:t xml:space="preserve">the basic configuration</w:t>
      </w:r>
      <w:r>
        <w:rPr>
          <w:color w:val="00274C"/>
          <w:sz w:val="20"/>
          <w:szCs w:val="20"/>
          <w:u w:val="none"/>
        </w:rPr>
        <w:t xml:space="preserve"> </w:t>
      </w:r>
      <w:r>
        <w:rPr>
          <w:color w:val="00274C"/>
          <w:sz w:val="20"/>
          <w:szCs w:val="20"/>
          <w:u w:val="none"/>
        </w:rPr>
        <w:t xml:space="preserve">of the engines</w:t>
      </w:r>
      <w:r>
        <w:rPr>
          <w:color w:val="00274C"/>
          <w:sz w:val="20"/>
          <w:szCs w:val="20"/>
          <w:u w:val="none"/>
        </w:rPr>
        <w:t xml:space="preserve"> ( </w:t>
      </w:r>
      <w:hyperlink r:id="rId197067a26d4a2204e" w:history="1">
        <w:r>
          <w:rPr>
            <w:rStyle w:val="DefaultParagraphFontPHPDOCX"/>
            <w:b/>
            <w:bCs/>
            <w:color w:val="0000FF"/>
            <w:sz w:val="20"/>
            <w:szCs w:val="20"/>
            <w:u w:val="none"/>
          </w:rPr>
          <w:t xml:space="preserve">Par. 1.3</w:t>
        </w:r>
      </w:hyperlink>
      <w:r>
        <w:rPr>
          <w:color w:val="00274C"/>
          <w:sz w:val="20"/>
          <w:szCs w:val="20"/>
          <w:u w:val="none"/>
        </w:rPr>
        <w:t xml:space="preserve"> and </w:t>
      </w:r>
      <w:hyperlink r:id="rId822067a26d4a2228b" w:history="1">
        <w:r>
          <w:rPr>
            <w:rStyle w:val="DefaultParagraphFontPHPDOCX"/>
            <w:b/>
            <w:bCs/>
            <w:color w:val="0000FF"/>
            <w:sz w:val="20"/>
            <w:szCs w:val="20"/>
            <w:u w:val="none"/>
          </w:rPr>
          <w:t xml:space="preserve">Par. 1.4</w:t>
        </w:r>
      </w:hyperlink>
      <w:r>
        <w:rPr>
          <w:color w:val="00274C"/>
          <w:sz w:val="20"/>
          <w:szCs w:val="20"/>
          <w:u w:val="none"/>
        </w:rPr>
        <w:t xml:space="preserve"> ).</w:t>
      </w:r>
    </w:p>
    <w:p>
      <w:pPr>
        <w:numPr>
          <w:ilvl w:val="0"/>
          <w:numId w:val="28535"/>
        </w:numPr>
        <w:spacing w:before="0" w:after="0" w:line="240" w:lineRule="auto"/>
        <w:jc w:val="left"/>
        <w:rPr>
          <w:color w:val="00274C"/>
          <w:sz w:val="20"/>
          <w:szCs w:val="20"/>
        </w:rPr>
      </w:pPr>
      <w:r>
        <w:rPr>
          <w:color w:val="00274C"/>
          <w:sz w:val="20"/>
          <w:szCs w:val="20"/>
          <w:u w:val="none"/>
        </w:rPr>
        <w:t xml:space="preserve">However, the development of engines is continuous. Therefore, the information in this manual is subject to change without notice.</w:t>
      </w:r>
    </w:p>
    <w:p>
      <w:pPr>
        <w:numPr>
          <w:ilvl w:val="0"/>
          <w:numId w:val="28535"/>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on the engines for technical or commercial reasons.</w:t>
      </w:r>
    </w:p>
    <w:p>
      <w:pPr>
        <w:numPr>
          <w:ilvl w:val="0"/>
          <w:numId w:val="28535"/>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production marketed up to that time and nor to consider this manual as inappropriate.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The paragraphs, tables and figures are numbered by chapter and followed by the progressive paragraph, table and/or figure number.</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chapter </w:t>
      </w:r>
      <w:r>
        <w:rPr>
          <w:b/>
          <w:bCs/>
          <w:color w:val="00274C"/>
          <w:sz w:val="20"/>
          <w:szCs w:val="20"/>
          <w:u w:val="none"/>
        </w:rPr>
        <w:t xml:space="preserve">1</w:t>
      </w:r>
      <w:r>
        <w:rPr>
          <w:color w:val="00274C"/>
          <w:sz w:val="20"/>
          <w:szCs w:val="20"/>
          <w:u w:val="none"/>
        </w:rPr>
        <w:t xml:space="preserve"> paragraph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chapter </w:t>
      </w:r>
      <w:r>
        <w:rPr>
          <w:b/>
          <w:bCs/>
          <w:color w:val="00274C"/>
          <w:sz w:val="20"/>
          <w:szCs w:val="20"/>
          <w:u w:val="none"/>
        </w:rPr>
        <w:t xml:space="preserve">2</w:t>
      </w:r>
      <w:r>
        <w:rPr>
          <w:color w:val="00274C"/>
          <w:sz w:val="20"/>
          <w:szCs w:val="20"/>
          <w:u w:val="none"/>
        </w:rPr>
        <w:t xml:space="preserve"> table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chapter </w:t>
      </w:r>
      <w:r>
        <w:rPr>
          <w:b/>
          <w:bCs/>
          <w:color w:val="00274C"/>
          <w:sz w:val="20"/>
          <w:szCs w:val="20"/>
          <w:u w:val="none"/>
        </w:rPr>
        <w:t xml:space="preserve">4</w:t>
      </w:r>
      <w:r>
        <w:rPr>
          <w:color w:val="00274C"/>
          <w:sz w:val="20"/>
          <w:szCs w:val="20"/>
          <w:u w:val="none"/>
        </w:rPr>
        <w:t xml:space="preserve"> figure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NOTE:</w:t>
      </w:r>
      <w:r>
        <w:rPr>
          <w:color w:val="00274C"/>
          <w:sz w:val="20"/>
          <w:szCs w:val="20"/>
          <w:u w:val="none"/>
        </w:rPr>
        <w:t xml:space="preserve"> The paragraphs may contain sub-paragraphs.</w:t>
      </w:r>
    </w:p>
    <w:p>
      <w:pPr>
        <w:widowControl w:val="on"/>
        <w:pBdr/>
        <w:spacing w:before="0" w:after="0" w:line="262" w:lineRule="auto"/>
        <w:ind w:left="0" w:right="0"/>
        <w:jc w:val="left"/>
      </w:pPr>
      <w:r>
        <w:rPr>
          <w:color w:val="00274C"/>
          <w:sz w:val="20"/>
          <w:szCs w:val="20"/>
          <w:u w:val="none"/>
        </w:rPr>
        <w:t xml:space="preserve"> </w:t>
      </w:r>
    </w:p>
    <w:p>
      <w:pPr>
        <w:numPr>
          <w:ilvl w:val="0"/>
          <w:numId w:val="28535"/>
        </w:numPr>
        <w:spacing w:before="0" w:after="0" w:line="240" w:lineRule="auto"/>
        <w:jc w:val="left"/>
        <w:rPr>
          <w:color w:val="00274C"/>
          <w:sz w:val="20"/>
          <w:szCs w:val="20"/>
        </w:rPr>
      </w:pPr>
      <w:r>
        <w:rPr>
          <w:color w:val="00274C"/>
          <w:sz w:val="20"/>
          <w:szCs w:val="20"/>
          <w:u w:val="none"/>
        </w:rPr>
        <w:t xml:space="preserve">All technical terms, specific components and symbols ( </w:t>
      </w:r>
      <w:hyperlink r:id="rId465067a26d4a24c7e" w:history="1">
        <w:r>
          <w:rPr>
            <w:rStyle w:val="DefaultParagraphFontPHPDOCX"/>
            <w:b/>
            <w:bCs/>
            <w:color w:val="0000FF"/>
            <w:sz w:val="20"/>
            <w:szCs w:val="20"/>
            <w:u w:val="none"/>
          </w:rPr>
          <w:t xml:space="preserve">Tab. 15.1</w:t>
        </w:r>
      </w:hyperlink>
      <w:r>
        <w:rPr>
          <w:color w:val="00274C"/>
          <w:sz w:val="20"/>
          <w:szCs w:val="20"/>
          <w:u w:val="none"/>
        </w:rPr>
        <w:t xml:space="preserve"> ) that are in the manual are listed and described inside the glossary, which can be consulted in ( </w:t>
      </w:r>
      <w:hyperlink r:id="rId960567a26d4a24ea7" w:history="1">
        <w:r>
          <w:rPr>
            <w:rStyle w:val="DefaultParagraphFontPHPDOCX"/>
            <w:b/>
            <w:bCs/>
            <w:color w:val="0000FF"/>
            <w:sz w:val="20"/>
            <w:szCs w:val="20"/>
            <w:u w:val="none"/>
          </w:rPr>
          <w:t xml:space="preserve">Chap. 15</w:t>
        </w:r>
      </w:hyperlink>
      <w:r>
        <w:rPr>
          <w:color w:val="00274C"/>
          <w:sz w:val="20"/>
          <w:szCs w:val="20"/>
          <w:u w:val="none"/>
        </w:rPr>
        <w:t xml:space="preserve"> ).</w:t>
      </w:r>
    </w:p>
    <w:p>
      <w:pPr>
        <w:numPr>
          <w:ilvl w:val="0"/>
          <w:numId w:val="28535"/>
        </w:numPr>
        <w:spacing w:before="0" w:after="0" w:line="240" w:lineRule="auto"/>
        <w:jc w:val="left"/>
        <w:rPr>
          <w:color w:val="00274C"/>
          <w:sz w:val="20"/>
          <w:szCs w:val="20"/>
        </w:rPr>
      </w:pPr>
      <w:r>
        <w:rPr>
          <w:color w:val="00274C"/>
          <w:sz w:val="20"/>
          <w:szCs w:val="20"/>
          <w:u w:val="none"/>
        </w:rPr>
        <w:t xml:space="preserve">The references of the objects described in the text and in the figure are indicated by letters and numbers, which are always and only related to the paragraph you are reading unless there are specific references to other figures or paragraphs.</w:t>
      </w:r>
    </w:p>
    <w:p>
      <w:pPr>
        <w:numPr>
          <w:ilvl w:val="0"/>
          <w:numId w:val="28535"/>
        </w:numPr>
        <w:spacing w:before="0" w:after="0" w:line="240" w:lineRule="auto"/>
        <w:jc w:val="left"/>
        <w:rPr>
          <w:color w:val="00274C"/>
          <w:sz w:val="20"/>
          <w:szCs w:val="20"/>
        </w:rPr>
      </w:pPr>
      <w:r>
        <w:rPr>
          <w:color w:val="00274C"/>
          <w:sz w:val="20"/>
          <w:szCs w:val="20"/>
          <w:u w:val="none"/>
        </w:rPr>
        <w:t xml:space="preserve">Reference to values are indicated by letters or numbers ( </w:t>
      </w:r>
      <w:r>
        <w:rPr>
          <w:b/>
          <w:bCs/>
          <w:color w:val="00274C"/>
          <w:sz w:val="20"/>
          <w:szCs w:val="20"/>
          <w:u w:val="none"/>
        </w:rPr>
        <w:t xml:space="preserve">underlined</w:t>
      </w:r>
      <w:r>
        <w:rPr>
          <w:color w:val="00274C"/>
          <w:sz w:val="20"/>
          <w:szCs w:val="20"/>
          <w:u w:val="none"/>
        </w:rPr>
        <w:t xml:space="preserve"> ).</w:t>
      </w:r>
    </w:p>
    <w:p>
      <w:pPr>
        <w:numPr>
          <w:ilvl w:val="0"/>
          <w:numId w:val="28535"/>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at a later stage must be kept with the manual and considered as an integral part of it.</w:t>
      </w:r>
    </w:p>
    <w:p>
      <w:pPr>
        <w:numPr>
          <w:ilvl w:val="0"/>
          <w:numId w:val="28535"/>
        </w:numPr>
        <w:spacing w:before="0" w:after="0" w:line="240" w:lineRule="auto"/>
        <w:jc w:val="left"/>
        <w:rPr>
          <w:color w:val="00274C"/>
          <w:sz w:val="20"/>
          <w:szCs w:val="20"/>
        </w:rPr>
      </w:pPr>
      <w:r>
        <w:rPr>
          <w:color w:val="00274C"/>
          <w:sz w:val="20"/>
          <w:szCs w:val="20"/>
          <w:u w:val="none"/>
        </w:rPr>
        <w:t xml:space="preserve">The information contained in this manual is the sole property of </w:t>
      </w:r>
      <w:r>
        <w:rPr>
          <w:b/>
          <w:bCs/>
          <w:color w:val="00274C"/>
          <w:sz w:val="20"/>
          <w:szCs w:val="20"/>
          <w:u w:val="none"/>
        </w:rPr>
        <w:t xml:space="preserve">KOHLER</w:t>
      </w:r>
      <w:r>
        <w:rPr>
          <w:color w:val="00274C"/>
          <w:sz w:val="20"/>
          <w:szCs w:val="20"/>
          <w:u w:val="none"/>
        </w:rPr>
        <w:t xml:space="preserve"> , therefore no partial or total reproduction or replication is allowed without the express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w:t>
      </w:r>
      <w:r>
        <w:rPr>
          <w:color w:val="00274C"/>
          <w:sz w:val="20"/>
          <w:szCs w:val="20"/>
          <w:u w:val="none"/>
        </w:rPr>
        <w:t xml:space="preserve"> </w:t>
      </w:r>
      <w:bookmarkStart w:id="6663003" w:name="result_box"/>
      <w:bookmarkEnd w:id="6663003"/>
      <w:r>
        <w:rPr>
          <w:b/>
          <w:bCs/>
          <w:color w:val="00274C"/>
          <w:sz w:val="20"/>
          <w:szCs w:val="20"/>
          <w:u w:val="none"/>
        </w:rPr>
        <w:t xml:space="preserve">Useful Information</w:t>
      </w:r>
      <w:r>
        <w:rPr>
          <w:b/>
          <w:bCs/>
          <w:color w:val="00274C"/>
          <w:sz w:val="20"/>
          <w:szCs w:val="20"/>
          <w:u w:val="none"/>
        </w:rPr>
        <w:t xml:space="preserve"> -</w:t>
      </w:r>
      <w:r>
        <w:rPr>
          <w:color w:val="00274C"/>
          <w:sz w:val="20"/>
          <w:szCs w:val="20"/>
          <w:u w:val="none"/>
        </w:rPr>
        <w:t xml:space="preserve"> </w:t>
      </w:r>
      <w:bookmarkStart w:id="74628628" w:name="result_box"/>
      <w:bookmarkEnd w:id="74628628"/>
      <w:r>
        <w:rPr>
          <w:b/>
          <w:bCs/>
          <w:color w:val="00274C"/>
          <w:sz w:val="20"/>
          <w:szCs w:val="20"/>
          <w:u w:val="none"/>
        </w:rPr>
        <w:t xml:space="preserve">accident prevention</w:t>
      </w:r>
      <w:r>
        <w:rPr>
          <w:b/>
          <w:bCs/>
          <w:color w:val="00274C"/>
          <w:sz w:val="20"/>
          <w:szCs w:val="20"/>
          <w:u w:val="none"/>
        </w:rPr>
        <w:t xml:space="preserve"> -</w:t>
      </w:r>
      <w:r>
        <w:rPr>
          <w:color w:val="00274C"/>
          <w:sz w:val="20"/>
          <w:szCs w:val="20"/>
          <w:u w:val="none"/>
        </w:rPr>
        <w:t xml:space="preserve"> </w:t>
      </w:r>
      <w:bookmarkStart w:id="75450639" w:name="result_box"/>
      <w:bookmarkEnd w:id="75450639"/>
      <w:r>
        <w:rPr>
          <w:b/>
          <w:bCs/>
          <w:color w:val="00274C"/>
          <w:sz w:val="20"/>
          <w:szCs w:val="20"/>
          <w:u w:val="none"/>
        </w:rPr>
        <w:t xml:space="preserve">environmental impact</w:t>
      </w:r>
    </w:p>
    <w:p>
      <w:pPr>
        <w:widowControl w:val="on"/>
        <w:pBdr/>
        <w:spacing w:before="0" w:after="0" w:line="262" w:lineRule="auto"/>
        <w:ind w:left="0" w:right="0"/>
        <w:jc w:val="left"/>
      </w:pPr>
      <w:r>
        <w:rPr>
          <w:color w:val="00274C"/>
          <w:sz w:val="20"/>
          <w:szCs w:val="20"/>
          <w:u w:val="none"/>
        </w:rPr>
        <w:t xml:space="preserve"> </w:t>
      </w:r>
    </w:p>
    <w:p>
      <w:pPr>
        <w:numPr>
          <w:ilvl w:val="0"/>
          <w:numId w:val="28535"/>
        </w:numPr>
        <w:spacing w:before="0" w:after="0" w:line="240" w:lineRule="auto"/>
        <w:jc w:val="left"/>
        <w:rPr>
          <w:color w:val="00274C"/>
          <w:sz w:val="20"/>
          <w:szCs w:val="20"/>
        </w:rPr>
      </w:pPr>
      <w:bookmarkStart w:id="80116802" w:name="result_box"/>
      <w:bookmarkEnd w:id="80116802"/>
      <w:r>
        <w:rPr>
          <w:color w:val="00274C"/>
          <w:sz w:val="20"/>
          <w:szCs w:val="20"/>
          <w:u w:val="none"/>
        </w:rPr>
        <w:t xml:space="preserve">Before proceeding</w:t>
      </w:r>
      <w:r>
        <w:rPr>
          <w:color w:val="00274C"/>
          <w:sz w:val="20"/>
          <w:szCs w:val="20"/>
          <w:u w:val="none"/>
        </w:rPr>
        <w:t xml:space="preserve"> </w:t>
      </w:r>
      <w:r>
        <w:rPr>
          <w:color w:val="00274C"/>
          <w:sz w:val="20"/>
          <w:szCs w:val="20"/>
          <w:u w:val="none"/>
        </w:rPr>
        <w:t xml:space="preserve">repair</w:t>
      </w:r>
      <w:r>
        <w:rPr>
          <w:color w:val="00274C"/>
          <w:sz w:val="20"/>
          <w:szCs w:val="20"/>
          <w:u w:val="none"/>
        </w:rPr>
        <w:t xml:space="preserve"> </w:t>
      </w:r>
      <w:r>
        <w:rPr>
          <w:color w:val="00274C"/>
          <w:sz w:val="20"/>
          <w:szCs w:val="20"/>
          <w:u w:val="none"/>
        </w:rPr>
        <w:t xml:space="preserve">-</w:t>
      </w:r>
      <w:r>
        <w:rPr>
          <w:color w:val="00274C"/>
          <w:sz w:val="20"/>
          <w:szCs w:val="20"/>
          <w:u w:val="none"/>
        </w:rPr>
        <w:t xml:space="preserve"> </w:t>
      </w:r>
      <w:r>
        <w:rPr>
          <w:color w:val="00274C"/>
          <w:sz w:val="20"/>
          <w:szCs w:val="20"/>
          <w:u w:val="none"/>
        </w:rPr>
        <w:t xml:space="preserve">handling</w:t>
      </w:r>
      <w:r>
        <w:rPr>
          <w:color w:val="00274C"/>
          <w:sz w:val="20"/>
          <w:szCs w:val="20"/>
          <w:u w:val="none"/>
        </w:rPr>
        <w:t xml:space="preserve"> </w:t>
      </w:r>
      <w:r>
        <w:rPr>
          <w:color w:val="00274C"/>
          <w:sz w:val="20"/>
          <w:szCs w:val="20"/>
          <w:u w:val="none"/>
        </w:rPr>
        <w:t xml:space="preserve">the engine</w:t>
      </w:r>
      <w:r>
        <w:rPr>
          <w:color w:val="00274C"/>
          <w:sz w:val="20"/>
          <w:szCs w:val="20"/>
          <w:u w:val="none"/>
        </w:rPr>
        <w:t xml:space="preserve"> , </w:t>
      </w:r>
      <w:r>
        <w:rPr>
          <w:color w:val="00274C"/>
          <w:sz w:val="20"/>
          <w:szCs w:val="20"/>
          <w:u w:val="none"/>
        </w:rPr>
        <w:t xml:space="preserve">you should read</w:t>
      </w:r>
      <w:r>
        <w:rPr>
          <w:color w:val="00274C"/>
          <w:sz w:val="20"/>
          <w:szCs w:val="20"/>
          <w:u w:val="none"/>
        </w:rPr>
        <w:t xml:space="preserve"> </w:t>
      </w:r>
      <w:hyperlink r:id="rId599267a26d4a27d45" w:history="1">
        <w:r>
          <w:rPr>
            <w:rStyle w:val="DefaultParagraphFontPHPDOCX"/>
            <w:b/>
            <w:bCs/>
            <w:color w:val="0000FF"/>
            <w:sz w:val="20"/>
            <w:szCs w:val="20"/>
            <w:u w:val="none"/>
          </w:rPr>
          <w:t xml:space="preserve">Chap.</w:t>
        </w:r>
      </w:hyperlink>
      <w:r>
        <w:rPr>
          <w:color w:val="00274C"/>
          <w:sz w:val="20"/>
          <w:szCs w:val="20"/>
          <w:u w:val="none"/>
        </w:rPr>
        <w:t xml:space="preserve"> </w:t>
      </w:r>
      <w:bookmarkStart w:id="7456051" w:name="result_box"/>
      <w:bookmarkEnd w:id="7456051"/>
      <w:hyperlink r:id="rId351667a26d4a28026" w:history="1">
        <w:r>
          <w:rPr>
            <w:rStyle w:val="DefaultParagraphFontPHPDOCX"/>
            <w:b/>
            <w:bCs/>
            <w:color w:val="0000FF"/>
            <w:sz w:val="20"/>
            <w:szCs w:val="20"/>
            <w:u w:val="none"/>
          </w:rPr>
          <w:t xml:space="preserve">3</w:t>
        </w:r>
      </w:hyperlink>
      <w:r>
        <w:rPr>
          <w:color w:val="00274C"/>
          <w:sz w:val="20"/>
          <w:szCs w:val="20"/>
          <w:u w:val="none"/>
        </w:rPr>
        <w:t xml:space="preserve"> in its entirity, which</w:t>
      </w:r>
      <w:r>
        <w:rPr>
          <w:color w:val="00274C"/>
          <w:sz w:val="20"/>
          <w:szCs w:val="20"/>
          <w:u w:val="none"/>
        </w:rPr>
        <w:t xml:space="preserve"> </w:t>
      </w:r>
      <w:r>
        <w:rPr>
          <w:color w:val="00274C"/>
          <w:sz w:val="20"/>
          <w:szCs w:val="20"/>
          <w:u w:val="none"/>
        </w:rPr>
        <w:t xml:space="preserve">contains important</w:t>
      </w:r>
      <w:r>
        <w:rPr>
          <w:color w:val="00274C"/>
          <w:sz w:val="20"/>
          <w:szCs w:val="20"/>
          <w:u w:val="none"/>
        </w:rPr>
        <w:t xml:space="preserve"> </w:t>
      </w:r>
      <w:r>
        <w:rPr>
          <w:color w:val="00274C"/>
          <w:sz w:val="20"/>
          <w:szCs w:val="20"/>
          <w:u w:val="none"/>
        </w:rPr>
        <w:t xml:space="preserve">information regarding procedures</w:t>
      </w:r>
      <w:r>
        <w:rPr>
          <w:color w:val="00274C"/>
          <w:sz w:val="20"/>
          <w:szCs w:val="20"/>
          <w:u w:val="none"/>
        </w:rPr>
        <w:t xml:space="preserve"> </w:t>
      </w:r>
      <w:r>
        <w:rPr>
          <w:color w:val="00274C"/>
          <w:sz w:val="20"/>
          <w:szCs w:val="20"/>
          <w:u w:val="none"/>
        </w:rPr>
        <w:t xml:space="preserve">to follow with regard to </w:t>
      </w:r>
      <w:r>
        <w:rPr>
          <w:color w:val="00274C"/>
          <w:sz w:val="20"/>
          <w:szCs w:val="20"/>
          <w:u w:val="none"/>
        </w:rPr>
        <w:t xml:space="preserve"> </w:t>
      </w:r>
      <w:r>
        <w:rPr>
          <w:color w:val="00274C"/>
          <w:sz w:val="20"/>
          <w:szCs w:val="20"/>
          <w:u w:val="none"/>
        </w:rPr>
        <w:t xml:space="preserve">safety</w:t>
      </w:r>
      <w:r>
        <w:rPr>
          <w:color w:val="00274C"/>
          <w:sz w:val="20"/>
          <w:szCs w:val="20"/>
          <w:u w:val="none"/>
        </w:rPr>
        <w:t xml:space="preserve"> </w:t>
      </w:r>
      <w:r>
        <w:rPr>
          <w:color w:val="00274C"/>
          <w:sz w:val="20"/>
          <w:szCs w:val="20"/>
          <w:u w:val="none"/>
        </w:rPr>
        <w:t xml:space="preserve">and the environment</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2239200" cy="2736000"/>
            <wp:effectExtent b="0" l="0" r="0" t="0"/>
            <wp:docPr id="62710359" name="name555167a26d4a36273" descr="Fig.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1.jpg"/>
                    <pic:cNvPicPr/>
                  </pic:nvPicPr>
                  <pic:blipFill>
                    <a:blip r:embed="rId216967a26d4a3626e" cstate="print"/>
                    <a:stretch>
                      <a:fillRect/>
                    </a:stretch>
                  </pic:blipFill>
                  <pic:spPr>
                    <a:xfrm>
                      <a:off x="0" y="0"/>
                      <a:ext cx="2239200" cy="2736000"/>
                    </a:xfrm>
                    <a:prstGeom prst="rect">
                      <a:avLst/>
                    </a:prstGeom>
                    <a:ln w="0">
                      <a:noFill/>
                    </a:ln>
                  </pic:spPr>
                </pic:pic>
              </a:graphicData>
            </a:graphic>
          </wp:inline>
        </w:drawing>
      </w:r>
      <w:r>
        <w:rPr>
          <w:color w:val="00274C"/>
          <w:sz w:val="20"/>
          <w:szCs w:val="20"/>
          <w:u w:val="none"/>
        </w:rPr>
        <w:br/>
        <w:t xml:space="preserve">     </w:t>
      </w:r>
      <w:r>
        <w:drawing>
          <wp:inline distT="0" distB="0" distL="0" distR="0">
            <wp:extent cx="2239200" cy="2743200"/>
            <wp:effectExtent b="0" l="0" r="0" t="0"/>
            <wp:docPr id="13353439" name="name831867a26d4a44031" descr="Fig.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2.jpg"/>
                    <pic:cNvPicPr/>
                  </pic:nvPicPr>
                  <pic:blipFill>
                    <a:blip r:embed="rId577267a26d4a4402d" cstate="print"/>
                    <a:stretch>
                      <a:fillRect/>
                    </a:stretch>
                  </pic:blipFill>
                  <pic:spPr>
                    <a:xfrm>
                      <a:off x="0" y="0"/>
                      <a:ext cx="2239200" cy="2743200"/>
                    </a:xfrm>
                    <a:prstGeom prst="rect">
                      <a:avLst/>
                    </a:prstGeom>
                    <a:ln w="0">
                      <a:noFill/>
                    </a:ln>
                  </pic:spPr>
                </pic:pic>
              </a:graphicData>
            </a:graphic>
          </wp:inline>
        </w:drawing>
      </w:r>
    </w:p>
    <w:p>
      <w:pPr>
        <w:widowControl w:val="on"/>
        <w:pBdr/>
        <w:spacing w:before="225" w:after="225" w:line="262" w:lineRule="auto"/>
        <w:ind w:left="0" w:right="0"/>
        <w:jc w:val="left"/>
      </w:pPr>
      <w:r>
        <w:rPr>
          <w:color w:val="00274C"/>
          <w:sz w:val="20"/>
          <w:szCs w:val="20"/>
          <w:u w:val="none"/>
        </w:rPr>
        <w:t xml:space="preserve">  </w:t>
      </w:r>
      <w:r>
        <w:rPr>
          <w:b/>
          <w:bCs/>
          <w:color w:val="00274C"/>
          <w:sz w:val="20"/>
          <w:szCs w:val="20"/>
          <w:u w:val="none"/>
        </w:rPr>
        <w:t xml:space="preserve">Fig 1.1 -</w:t>
      </w:r>
      <w:r>
        <w:rPr>
          <w:color w:val="00274C"/>
          <w:sz w:val="20"/>
          <w:szCs w:val="20"/>
          <w:u w:val="none"/>
        </w:rPr>
        <w:t xml:space="preserve">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w:t>
      </w:r>
      <w:r>
        <w:drawing>
          <wp:inline distT="0" distB="0" distL="0" distR="0">
            <wp:extent cx="4824000" cy="1807200"/>
            <wp:effectExtent b="0" l="0" r="0" t="0"/>
            <wp:docPr id="80831299" name="name194567a26d4a512c1" descr="Fig._1.3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3_EN.jpg"/>
                    <pic:cNvPicPr/>
                  </pic:nvPicPr>
                  <pic:blipFill>
                    <a:blip r:embed="rId632567a26d4a512bc" cstate="print"/>
                    <a:stretch>
                      <a:fillRect/>
                    </a:stretch>
                  </pic:blipFill>
                  <pic:spPr>
                    <a:xfrm>
                      <a:off x="0" y="0"/>
                      <a:ext cx="4824000" cy="18072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main internal components of the engine and operating reference (BASE CONFIGURATION)</w:t>
      </w:r>
    </w:p>
    <w:p>
      <w:pPr>
        <w:widowControl w:val="on"/>
        <w:pBdr/>
        <w:spacing w:before="0" w:after="0" w:line="262" w:lineRule="auto"/>
        <w:ind w:left="0" w:right="0"/>
        <w:jc w:val="left"/>
      </w:pPr>
      <w:r>
        <w:rPr>
          <w:b/>
          <w:bCs/>
          <w:color w:val="00274C"/>
          <w:sz w:val="20"/>
          <w:szCs w:val="20"/>
          <w:u w:val="none"/>
        </w:rPr>
        <w:t xml:space="preserve">VIEW OF EXHAUST SIDE</w:t>
      </w:r>
    </w:p>
    <w:p>
      <w:pPr>
        <w:widowControl w:val="on"/>
        <w:pBdr/>
        <w:spacing w:before="225" w:after="225" w:line="262" w:lineRule="auto"/>
        <w:ind w:left="0" w:right="0"/>
        <w:jc w:val="left"/>
      </w:pPr>
      <w:r>
        <w:drawing>
          <wp:inline distT="0" distB="0" distL="0" distR="0">
            <wp:extent cx="4824000" cy="3124800"/>
            <wp:effectExtent b="0" l="0" r="0" t="0"/>
            <wp:docPr id="60155132" name="name354567a26d4a5c00a" descr="Fig.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4.jpg"/>
                    <pic:cNvPicPr/>
                  </pic:nvPicPr>
                  <pic:blipFill>
                    <a:blip r:embed="rId353167a26d4a5c004" cstate="print"/>
                    <a:stretch>
                      <a:fillRect/>
                    </a:stretch>
                  </pic:blipFill>
                  <pic:spPr>
                    <a:xfrm>
                      <a:off x="0" y="0"/>
                      <a:ext cx="4824000" cy="3124800"/>
                    </a:xfrm>
                    <a:prstGeom prst="rect">
                      <a:avLst/>
                    </a:prstGeom>
                    <a:ln w="0">
                      <a:noFill/>
                    </a:ln>
                  </pic:spPr>
                </pic:pic>
              </a:graphicData>
            </a:graphic>
          </wp:inline>
        </w:drawing>
      </w:r>
      <w:r>
        <w:rPr>
          <w:color w:val="00274C"/>
          <w:sz w:val="20"/>
          <w:szCs w:val="20"/>
          <w:u w:val="none"/>
        </w:rPr>
        <w:t xml:space="preserve">  </w:t>
      </w:r>
      <w:r>
        <w:rPr>
          <w:b/>
          <w:bCs/>
          <w:color w:val="00274C"/>
          <w:sz w:val="20"/>
          <w:szCs w:val="20"/>
          <w:u w:val="none"/>
        </w:rPr>
        <w:br/>
        <w:t xml:space="preserve">Fig 1.4</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following chapters contain operating references in order to clearly understand the engine. This paragraph illustrates these references that may be recognised by means of some main internal components.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Should you need to execute complex operations, always consult this paragraph.</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it is advisable to keep this page visible during disassembly and assembly operations.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r>
                    <w:rPr>
                      <w:position w:val="-7"/>
                    </w:rPr>
                    <w:drawing>
                      <wp:inline distT="0" distB="0" distL="0" distR="0">
                        <wp:extent cx="360000" cy="172800"/>
                        <wp:effectExtent b="0" l="0" r="0" t="0"/>
                        <wp:docPr id="48863573" name="name721467a26d4a6714e"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972067a26d4a67149"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timing system side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r>
                    <w:rPr>
                      <w:position w:val="-7"/>
                    </w:rPr>
                    <w:drawing>
                      <wp:inline distT="0" distB="0" distL="0" distR="0">
                        <wp:extent cx="360000" cy="172800"/>
                        <wp:effectExtent b="0" l="0" r="0" t="0"/>
                        <wp:docPr id="49917057" name="name325667a26d4a6c864"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854067a26d4a6c860"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flywheel side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r>
                    <w:rPr>
                      <w:position w:val="-7"/>
                    </w:rPr>
                    <w:drawing>
                      <wp:inline distT="0" distB="0" distL="0" distR="0">
                        <wp:extent cx="360000" cy="172800"/>
                        <wp:effectExtent b="0" l="0" r="0" t="0"/>
                        <wp:docPr id="1053120" name="name693467a26d4a74205"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113667a26d4a74201"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exhaust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r>
                    <w:rPr>
                      <w:position w:val="-7"/>
                    </w:rPr>
                    <w:drawing>
                      <wp:inline distT="0" distB="0" distL="0" distR="0">
                        <wp:extent cx="360000" cy="172800"/>
                        <wp:effectExtent b="0" l="0" r="0" t="0"/>
                        <wp:docPr id="13322935" name="name460867a26d4a79aba"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813567a26d4a79ab6"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intake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1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2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3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4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 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suction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Gears adaptor for 3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/4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drawing>
          <wp:inline distT="0" distB="0" distL="0" distR="0">
            <wp:extent cx="4824000" cy="3297600"/>
            <wp:effectExtent b="0" l="0" r="0" t="0"/>
            <wp:docPr id="67417121" name="name471267a26d4a8a144" descr="Fig.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5.jpg"/>
                    <pic:cNvPicPr/>
                  </pic:nvPicPr>
                  <pic:blipFill>
                    <a:blip r:embed="rId316567a26d4a8a13f" cstate="print"/>
                    <a:stretch>
                      <a:fillRect/>
                    </a:stretch>
                  </pic:blipFill>
                  <pic:spPr>
                    <a:xfrm>
                      <a:off x="0" y="0"/>
                      <a:ext cx="4824000" cy="3297600"/>
                    </a:xfrm>
                    <a:prstGeom prst="rect">
                      <a:avLst/>
                    </a:prstGeom>
                    <a:ln w="0">
                      <a:noFill/>
                    </a:ln>
                  </pic:spPr>
                </pic:pic>
              </a:graphicData>
            </a:graphic>
          </wp:inline>
        </w:drawing>
      </w:r>
      <w:r>
        <w:rPr>
          <w:b/>
          <w:bCs/>
          <w:color w:val="00274C"/>
          <w:sz w:val="20"/>
          <w:szCs w:val="20"/>
          <w:u w:val="none"/>
        </w:rPr>
        <w:br/>
        <w:br/>
        <w:t xml:space="preserve">Fig 1.5</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TIMING SYSTEM SIDE</w:t>
      </w:r>
      <w:r>
        <w:drawing>
          <wp:inline distT="0" distB="0" distL="0" distR="0">
            <wp:extent cx="4824000" cy="3297600"/>
            <wp:effectExtent b="0" l="0" r="0" t="0"/>
            <wp:docPr id="74087006" name="name945067a26d4a95de8" descr="Fig.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6.jpg"/>
                    <pic:cNvPicPr/>
                  </pic:nvPicPr>
                  <pic:blipFill>
                    <a:blip r:embed="rId159067a26d4a95de3" cstate="print"/>
                    <a:stretch>
                      <a:fillRect/>
                    </a:stretch>
                  </pic:blipFill>
                  <pic:spPr>
                    <a:xfrm>
                      <a:off x="0" y="0"/>
                      <a:ext cx="4824000" cy="3297600"/>
                    </a:xfrm>
                    <a:prstGeom prst="rect">
                      <a:avLst/>
                    </a:prstGeom>
                    <a:ln w="0">
                      <a:noFill/>
                    </a:ln>
                  </pic:spPr>
                </pic:pic>
              </a:graphicData>
            </a:graphic>
          </wp:inline>
        </w:drawing>
      </w:r>
      <w:r>
        <w:rPr>
          <w:b/>
          <w:bCs/>
          <w:color w:val="00274C"/>
          <w:sz w:val="20"/>
          <w:szCs w:val="20"/>
          <w:u w:val="none"/>
        </w:rPr>
        <w:br/>
        <w:br/>
        <w:t xml:space="preserve">Fig 1.6</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external components of the engine (BASE CONFIGURATION)</w:t>
      </w:r>
    </w:p>
    <w:p>
      <w:pPr>
        <w:widowControl w:val="on"/>
        <w:pBdr/>
        <w:spacing w:before="0" w:after="0" w:line="262" w:lineRule="auto"/>
        <w:ind w:left="0" w:right="0"/>
        <w:jc w:val="left"/>
      </w:pPr>
      <w:r>
        <w:rPr>
          <w:b/>
          <w:bCs/>
          <w:color w:val="00274C"/>
          <w:sz w:val="20"/>
          <w:szCs w:val="20"/>
          <w:u w:val="none"/>
        </w:rPr>
        <w:t xml:space="preserve">VIEW OF TIMING SYSTEM SIDE - EXHAUST</w:t>
      </w:r>
    </w:p>
    <w:p>
      <w:pPr>
        <w:widowControl w:val="on"/>
        <w:pBdr/>
        <w:spacing w:before="225" w:after="225" w:line="262" w:lineRule="auto"/>
        <w:ind w:left="0" w:right="0"/>
        <w:jc w:val="left"/>
      </w:pPr>
      <w:r>
        <w:drawing>
          <wp:inline distT="0" distB="0" distL="0" distR="0">
            <wp:extent cx="4824000" cy="3132000"/>
            <wp:effectExtent b="0" l="0" r="0" t="0"/>
            <wp:docPr id="6334471" name="name431467a26d4aa45f6" descr="Fig.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7.jpg"/>
                    <pic:cNvPicPr/>
                  </pic:nvPicPr>
                  <pic:blipFill>
                    <a:blip r:embed="rId892267a26d4aa45f1" cstate="print"/>
                    <a:stretch>
                      <a:fillRect/>
                    </a:stretch>
                  </pic:blipFill>
                  <pic:spPr>
                    <a:xfrm>
                      <a:off x="0" y="0"/>
                      <a:ext cx="4824000" cy="3132000"/>
                    </a:xfrm>
                    <a:prstGeom prst="rect">
                      <a:avLst/>
                    </a:prstGeom>
                    <a:ln w="0">
                      <a:noFill/>
                    </a:ln>
                  </pic:spPr>
                </pic:pic>
              </a:graphicData>
            </a:graphic>
          </wp:inline>
        </w:drawing>
      </w:r>
    </w:p>
    <w:p>
      <w:pPr>
        <w:widowControl w:val="on"/>
        <w:pBdr/>
        <w:spacing w:before="225" w:after="225" w:line="262" w:lineRule="auto"/>
        <w:ind w:left="0" w:right="0"/>
        <w:jc w:val="left"/>
      </w:pPr>
      <w:r>
        <w:rPr>
          <w:color w:val="00274C"/>
          <w:sz w:val="20"/>
          <w:szCs w:val="20"/>
          <w:u w:val="none"/>
        </w:rPr>
        <w:t xml:space="preserve">  </w:t>
      </w:r>
      <w:r>
        <w:rPr>
          <w:b/>
          <w:bCs/>
          <w:color w:val="00274C"/>
          <w:sz w:val="20"/>
          <w:szCs w:val="20"/>
          <w:u w:val="none"/>
        </w:rPr>
        <w:t xml:space="preserve">Fig 1.7</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rPr>
          <w:color w:val="00274C"/>
          <w:sz w:val="20"/>
          <w:szCs w:val="20"/>
          <w:u w:val="none"/>
        </w:rPr>
        <w:br/>
        <w:t xml:space="preserve">  </w:t>
      </w:r>
      <w:r>
        <w:drawing>
          <wp:inline distT="0" distB="0" distL="0" distR="0">
            <wp:extent cx="4780800" cy="3268800"/>
            <wp:effectExtent b="0" l="0" r="0" t="0"/>
            <wp:docPr id="807474" name="name325767a26d4ab523d" descr="Fig._1.8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8_M.jpg"/>
                    <pic:cNvPicPr/>
                  </pic:nvPicPr>
                  <pic:blipFill>
                    <a:blip r:embed="rId235267a26d4ab5238" cstate="print"/>
                    <a:stretch>
                      <a:fillRect/>
                    </a:stretch>
                  </pic:blipFill>
                  <pic:spPr>
                    <a:xfrm>
                      <a:off x="0" y="0"/>
                      <a:ext cx="4780800" cy="3268800"/>
                    </a:xfrm>
                    <a:prstGeom prst="rect">
                      <a:avLst/>
                    </a:prstGeom>
                    <a:ln w="0">
                      <a:noFill/>
                    </a:ln>
                  </pic:spPr>
                </pic:pic>
              </a:graphicData>
            </a:graphic>
          </wp:inline>
        </w:drawing>
      </w:r>
      <w:r>
        <w:rPr>
          <w:b/>
          <w:bCs/>
          <w:color w:val="00274C"/>
          <w:sz w:val="20"/>
          <w:szCs w:val="20"/>
          <w:u w:val="none"/>
        </w:rPr>
        <w:br/>
        <w:t xml:space="preserve">Fig 1.8</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This paragraph illustrates all external components that are present in the base configuration of the engine.</w:t>
            </w:r>
            <w:r>
              <w:rPr>
                <w:color w:val="00274C"/>
                <w:position w:val="-2"/>
                <w:sz w:val="20"/>
                <w:szCs w:val="20"/>
                <w:u w:val="none"/>
              </w:rPr>
              <w:br/>
              <w:t xml:space="preserve">For components present on engines that differ from those represented in these illustrations, refer to </w:t>
            </w:r>
            <w:hyperlink r:id="rId711067a26d4ab5b93" w:history="1">
              <w:r>
                <w:rPr>
                  <w:rStyle w:val="DefaultParagraphFontPHPDOCX"/>
                  <w:b/>
                  <w:bCs/>
                  <w:color w:val="0000FF"/>
                  <w:position w:val="-2"/>
                  <w:sz w:val="20"/>
                  <w:szCs w:val="20"/>
                  <w:u w:val="single" w:color=""/>
                </w:rPr>
                <w:t xml:space="preserve">Chap. 11</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NOTE:</w:t>
            </w:r>
            <w:r>
              <w:rPr>
                <w:color w:val="00274C"/>
                <w:position w:val="0"/>
                <w:sz w:val="20"/>
                <w:szCs w:val="20"/>
                <w:u w:val="none"/>
              </w:rPr>
              <w:t xml:space="preserve"> The illustrated components may differ from those illustrated; the illustration is only as an example.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identification name plate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Flange bell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Injectors</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UPPER VIEW</w:t>
      </w:r>
      <w:r>
        <w:rPr>
          <w:color w:val="00274C"/>
          <w:sz w:val="20"/>
          <w:szCs w:val="20"/>
          <w:u w:val="none"/>
        </w:rPr>
        <w:br/>
        <w:t xml:space="preserve">  </w:t>
      </w:r>
      <w:r>
        <w:drawing>
          <wp:inline distT="0" distB="0" distL="0" distR="0">
            <wp:extent cx="4881600" cy="3261600"/>
            <wp:effectExtent b="0" l="0" r="0" t="0"/>
            <wp:docPr id="95907642" name="name895467a26d4ad114f" descr="Fig._1.9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9_M.jpg"/>
                    <pic:cNvPicPr/>
                  </pic:nvPicPr>
                  <pic:blipFill>
                    <a:blip r:embed="rId939867a26d4ad114a" cstate="print"/>
                    <a:stretch>
                      <a:fillRect/>
                    </a:stretch>
                  </pic:blipFill>
                  <pic:spPr>
                    <a:xfrm>
                      <a:off x="0" y="0"/>
                      <a:ext cx="4881600" cy="3261600"/>
                    </a:xfrm>
                    <a:prstGeom prst="rect">
                      <a:avLst/>
                    </a:prstGeom>
                    <a:ln w="0">
                      <a:noFill/>
                    </a:ln>
                  </pic:spPr>
                </pic:pic>
              </a:graphicData>
            </a:graphic>
          </wp:inline>
        </w:drawing>
      </w:r>
      <w:r>
        <w:rPr>
          <w:b/>
          <w:bCs/>
          <w:color w:val="00274C"/>
          <w:sz w:val="20"/>
          <w:szCs w:val="20"/>
          <w:u w:val="none"/>
        </w:rPr>
        <w:br/>
        <w:t xml:space="preserve">Fig 1.9</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8536">
    <w:multiLevelType w:val="hybridMultilevel"/>
    <w:lvl w:ilvl="0" w:tplc="58629576">
      <w:start w:val="1"/>
      <w:numFmt w:val="decimal"/>
      <w:lvlText w:val="%1."/>
      <w:lvlJc w:val="left"/>
      <w:pPr>
        <w:ind w:left="720" w:hanging="360"/>
      </w:pPr>
    </w:lvl>
    <w:lvl w:ilvl="1" w:tplc="58629576" w:tentative="1">
      <w:start w:val="1"/>
      <w:numFmt w:val="lowerLetter"/>
      <w:lvlText w:val="%2."/>
      <w:lvlJc w:val="left"/>
      <w:pPr>
        <w:ind w:left="1440" w:hanging="360"/>
      </w:pPr>
    </w:lvl>
    <w:lvl w:ilvl="2" w:tplc="58629576" w:tentative="1">
      <w:start w:val="1"/>
      <w:numFmt w:val="lowerRoman"/>
      <w:lvlText w:val="%3."/>
      <w:lvlJc w:val="right"/>
      <w:pPr>
        <w:ind w:left="2160" w:hanging="180"/>
      </w:pPr>
    </w:lvl>
    <w:lvl w:ilvl="3" w:tplc="58629576" w:tentative="1">
      <w:start w:val="1"/>
      <w:numFmt w:val="decimal"/>
      <w:lvlText w:val="%4."/>
      <w:lvlJc w:val="left"/>
      <w:pPr>
        <w:ind w:left="2880" w:hanging="360"/>
      </w:pPr>
    </w:lvl>
    <w:lvl w:ilvl="4" w:tplc="58629576" w:tentative="1">
      <w:start w:val="1"/>
      <w:numFmt w:val="lowerLetter"/>
      <w:lvlText w:val="%5."/>
      <w:lvlJc w:val="left"/>
      <w:pPr>
        <w:ind w:left="3600" w:hanging="360"/>
      </w:pPr>
    </w:lvl>
    <w:lvl w:ilvl="5" w:tplc="58629576" w:tentative="1">
      <w:start w:val="1"/>
      <w:numFmt w:val="lowerRoman"/>
      <w:lvlText w:val="%6."/>
      <w:lvlJc w:val="right"/>
      <w:pPr>
        <w:ind w:left="4320" w:hanging="180"/>
      </w:pPr>
    </w:lvl>
    <w:lvl w:ilvl="6" w:tplc="58629576" w:tentative="1">
      <w:start w:val="1"/>
      <w:numFmt w:val="decimal"/>
      <w:lvlText w:val="%7."/>
      <w:lvlJc w:val="left"/>
      <w:pPr>
        <w:ind w:left="5040" w:hanging="360"/>
      </w:pPr>
    </w:lvl>
    <w:lvl w:ilvl="7" w:tplc="58629576" w:tentative="1">
      <w:start w:val="1"/>
      <w:numFmt w:val="lowerLetter"/>
      <w:lvlText w:val="%8."/>
      <w:lvlJc w:val="left"/>
      <w:pPr>
        <w:ind w:left="5760" w:hanging="360"/>
      </w:pPr>
    </w:lvl>
    <w:lvl w:ilvl="8" w:tplc="58629576" w:tentative="1">
      <w:start w:val="1"/>
      <w:numFmt w:val="lowerRoman"/>
      <w:lvlText w:val="%9."/>
      <w:lvlJc w:val="right"/>
      <w:pPr>
        <w:ind w:left="6480" w:hanging="180"/>
      </w:pPr>
    </w:lvl>
  </w:abstractNum>
  <w:abstractNum w:abstractNumId="28535">
    <w:multiLevelType w:val="hybridMultilevel"/>
    <w:lvl w:ilvl="0" w:tplc="5424025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8535">
    <w:abstractNumId w:val="28535"/>
  </w:num>
  <w:num w:numId="28536">
    <w:abstractNumId w:val="285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881337835" Type="http://schemas.openxmlformats.org/officeDocument/2006/relationships/comments" Target="comments.xml"/><Relationship Id="rId912727536" Type="http://schemas.microsoft.com/office/2011/relationships/commentsExtended" Target="commentsExtended.xml"/><Relationship Id="rId54872414" Type="http://schemas.openxmlformats.org/officeDocument/2006/relationships/image" Target="media/imgrId54872414.jpg"/><Relationship Id="rId197067a26d4a2204e" Type="http://schemas.openxmlformats.org/officeDocument/2006/relationships/hyperlink" Target="https://iservice.lombardini.it/jsp/Template2/manuale.jsp?id=259&amp;parent=1136" TargetMode="External"/><Relationship Id="rId822067a26d4a2228b" Type="http://schemas.openxmlformats.org/officeDocument/2006/relationships/hyperlink" Target="https://iservice.lombardini.it/jsp/Template2/manuale.jsp?id=260&amp;parent=1136" TargetMode="External"/><Relationship Id="rId465067a26d4a24c7e" Type="http://schemas.openxmlformats.org/officeDocument/2006/relationships/hyperlink" Target="https://iservice.lombardini.it/jsp/Template2/manuale.jsp?id=335&amp;parent=1136" TargetMode="External"/><Relationship Id="rId960567a26d4a24ea7" Type="http://schemas.openxmlformats.org/officeDocument/2006/relationships/hyperlink" Target="https://iservice.lombardini.it/jsp/Template2/manuale.jsp?id=335&amp;parent=1136" TargetMode="External"/><Relationship Id="rId599267a26d4a27d45" Type="http://schemas.openxmlformats.org/officeDocument/2006/relationships/hyperlink" Target="https://iservice.lombardini.it/jsp/Template2/manuale.jsp?id=282&amp;parent=1136" TargetMode="External"/><Relationship Id="rId351667a26d4a28026" Type="http://schemas.openxmlformats.org/officeDocument/2006/relationships/hyperlink" Target="https://iservice.lombardini.it/jsp/Template2/manuale.jsp?id=282&amp;parent=1136" TargetMode="External"/><Relationship Id="rId711067a26d4ab5b93" Type="http://schemas.openxmlformats.org/officeDocument/2006/relationships/hyperlink" Target="https://iservice.lombardini.it/jsp/Template2/manuale.jsp?id=341&amp;parent=1136" TargetMode="External"/><Relationship Id="rId216967a26d4a3626e" Type="http://schemas.openxmlformats.org/officeDocument/2006/relationships/image" Target="media/imgrId216967a26d4a3626e.jpg"/><Relationship Id="rId577267a26d4a4402d" Type="http://schemas.openxmlformats.org/officeDocument/2006/relationships/image" Target="media/imgrId577267a26d4a4402d.jpg"/><Relationship Id="rId632567a26d4a512bc" Type="http://schemas.openxmlformats.org/officeDocument/2006/relationships/image" Target="media/imgrId632567a26d4a512bc.jpg"/><Relationship Id="rId353167a26d4a5c004" Type="http://schemas.openxmlformats.org/officeDocument/2006/relationships/image" Target="media/imgrId353167a26d4a5c004.jpg"/><Relationship Id="rId972067a26d4a67149" Type="http://schemas.openxmlformats.org/officeDocument/2006/relationships/image" Target="media/imgrId972067a26d4a67149.gif"/><Relationship Id="rId854067a26d4a6c860" Type="http://schemas.openxmlformats.org/officeDocument/2006/relationships/image" Target="media/imgrId854067a26d4a6c860.gif"/><Relationship Id="rId113667a26d4a74201" Type="http://schemas.openxmlformats.org/officeDocument/2006/relationships/image" Target="media/imgrId113667a26d4a74201.gif"/><Relationship Id="rId813567a26d4a79ab6" Type="http://schemas.openxmlformats.org/officeDocument/2006/relationships/image" Target="media/imgrId813567a26d4a79ab6.gif"/><Relationship Id="rId316567a26d4a8a13f" Type="http://schemas.openxmlformats.org/officeDocument/2006/relationships/image" Target="media/imgrId316567a26d4a8a13f.jpg"/><Relationship Id="rId159067a26d4a95de3" Type="http://schemas.openxmlformats.org/officeDocument/2006/relationships/image" Target="media/imgrId159067a26d4a95de3.jpg"/><Relationship Id="rId892267a26d4aa45f1" Type="http://schemas.openxmlformats.org/officeDocument/2006/relationships/image" Target="media/imgrId892267a26d4aa45f1.jpg"/><Relationship Id="rId235267a26d4ab5238" Type="http://schemas.openxmlformats.org/officeDocument/2006/relationships/image" Target="media/imgrId235267a26d4ab5238.jpg"/><Relationship Id="rId939867a26d4ad114a" Type="http://schemas.openxmlformats.org/officeDocument/2006/relationships/image" Target="media/imgrId939867a26d4ad114a.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54872414" Type="http://schemas.openxmlformats.org/officeDocument/2006/relationships/image" Target="media/imgrId54872414.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54872414" Type="http://schemas.openxmlformats.org/officeDocument/2006/relationships/image" Target="media/imgrId54872414.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54872414" Type="http://schemas.openxmlformats.org/officeDocument/2006/relationships/image" Target="media/imgrId54872414.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54872414" Type="http://schemas.openxmlformats.org/officeDocument/2006/relationships/image" Target="media/imgrId54872414.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54872414" Type="http://schemas.openxmlformats.org/officeDocument/2006/relationships/image" Target="media/imgrId54872414.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54872414" Type="http://schemas.openxmlformats.org/officeDocument/2006/relationships/image" Target="media/imgrId5487241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