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207810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76729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846786" w:name="ctxt"/>
    <w:bookmarkEnd w:id="95846786"/>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Allgemeine Beschreibung des Motors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- 4-Takt Diesel-Reihenmotor; - Flüssigkeitskühlung;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Ventile pro Zylinder mit hydraulischen Stösseln;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Turbokompressor mit Wastgate-Ventil;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Common-Rail-Direkteinspritzung.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Technische Daten des Motors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TECHNISCHE MERKMALE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MASSEINHEIT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81413769" name="name610667a37019414df"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645267a37019414d9"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56831059" name="name308167a3701969c38"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254867a3701969c33"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MOTORMODELL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MAXIMALE NEIGUNG WÄHREND DES BETRIEBS (auch kombiniert)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ÖLMENGE (Füllstand MAX.) mit installiertem Ölfilter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Standard-Ausführung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mit einer Vorrichtung zum Massenausgleich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TROCKENGEWICHT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w:t>
      </w:r>
    </w:p>
    <w:p>
      <w:pPr>
        <w:widowControl w:val="on"/>
        <w:pBdr/>
        <w:spacing w:before="225" w:after="225" w:line="262" w:lineRule="auto"/>
        <w:ind w:left="0" w:right="0"/>
        <w:jc w:val="left"/>
      </w:pPr>
      <w:r>
        <w:drawing>
          <wp:inline distT="0" distB="0" distL="0" distR="0">
            <wp:extent cx="4752000" cy="2844000"/>
            <wp:effectExtent b="0" l="0" r="0" t="0"/>
            <wp:docPr id="64522057" name="name680067a370198eb44"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68467a370198eb3f"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963371" name="name265267a370199bb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7567a370199bb4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770"/>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20770"/>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20770"/>
        </w:numPr>
        <w:spacing w:before="0" w:after="0" w:line="240" w:lineRule="auto"/>
        <w:jc w:val="left"/>
        <w:rPr>
          <w:color w:val="00274C"/>
          <w:sz w:val="20"/>
          <w:szCs w:val="20"/>
        </w:rPr>
      </w:pPr>
      <w:r>
        <w:rPr>
          <w:color w:val="00274C"/>
          <w:sz w:val="20"/>
          <w:szCs w:val="20"/>
          <w:u w:val="none"/>
        </w:rPr>
        <w:t xml:space="preserve">Ausschließlich das vorgeschriebene Öl verwenden, um angemessen Schutz, Leistung und Lebensdauer des Motors gewährleisten zu können.</w:t>
      </w:r>
    </w:p>
    <w:p>
      <w:pPr>
        <w:numPr>
          <w:ilvl w:val="0"/>
          <w:numId w:val="20770"/>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20770"/>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681893" name="name894767a37019ad6b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2167a37019ad6b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770"/>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20770"/>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20770"/>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SAE-Klassifizierung der Öle</w:t>
      </w:r>
    </w:p>
    <w:p>
      <w:pPr>
        <w:numPr>
          <w:ilvl w:val="0"/>
          <w:numId w:val="20770"/>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20770"/>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0770"/>
        </w:numPr>
        <w:spacing w:before="0" w:after="0" w:line="240" w:lineRule="auto"/>
        <w:jc w:val="left"/>
        <w:rPr>
          <w:color w:val="00274C"/>
          <w:sz w:val="20"/>
          <w:szCs w:val="20"/>
        </w:rPr>
      </w:pPr>
      <w:r>
        <w:rPr>
          <w:color w:val="00274C"/>
          <w:sz w:val="20"/>
          <w:szCs w:val="20"/>
          <w:u w:val="none"/>
        </w:rPr>
        <w:t xml:space="preserve">Die Low-SAPS-Technologie (Öl mit niedrigem Gehalt an Sulfatasche, Phosphor und Schwefel) sorgt dafür, dass die Katalysatoren in gutem Zustand bleiben. Bei Vorhandensein von Sulfatasche, Phosphor und Schwefel verstopft der Katalysator mit der Zeit und arbeitet dann nicht mehr ordnungsgemäß.</w:t>
      </w:r>
    </w:p>
    <w:p>
      <w:pPr>
        <w:numPr>
          <w:ilvl w:val="0"/>
          <w:numId w:val="20770"/>
        </w:numPr>
        <w:spacing w:before="0" w:after="0" w:line="240" w:lineRule="auto"/>
        <w:jc w:val="left"/>
        <w:rPr>
          <w:color w:val="00274C"/>
          <w:sz w:val="20"/>
          <w:szCs w:val="20"/>
        </w:rPr>
      </w:pPr>
      <w:r>
        <w:rPr>
          <w:color w:val="00274C"/>
          <w:sz w:val="20"/>
          <w:szCs w:val="20"/>
          <w:u w:val="none"/>
        </w:rPr>
        <w:t xml:space="preserve">Bei Mid-SAPS-Öl ist der Gehalt an Sulfatasche der wie bei API CJ-4 ≤ 1,0%, laut ACEA-Normung werden diese Öle aber als Mid-SAPS angesehen.</w:t>
      </w:r>
    </w:p>
    <w:p>
      <w:pPr>
        <w:numPr>
          <w:ilvl w:val="0"/>
          <w:numId w:val="20770"/>
        </w:numPr>
        <w:spacing w:before="0" w:after="0" w:line="240" w:lineRule="auto"/>
        <w:jc w:val="left"/>
        <w:rPr>
          <w:color w:val="00274C"/>
          <w:sz w:val="20"/>
          <w:szCs w:val="20"/>
        </w:rPr>
      </w:pPr>
      <w:r>
        <w:rPr>
          <w:color w:val="00274C"/>
          <w:sz w:val="20"/>
          <w:szCs w:val="20"/>
          <w:u w:val="none"/>
        </w:rPr>
        <w:t xml:space="preserve">Für den ordnungsgemäßen Betrieb und gute Schmierung ist die Filterung des Öls sehr wichtig. Die Filter regelmäßig wie in dieser Anleitung beschrieben reinigen.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 HINWEIS</w:t>
      </w:r>
      <w:r>
        <w:rPr>
          <w:color w:val="00274C"/>
          <w:sz w:val="20"/>
          <w:szCs w:val="20"/>
          <w:u w:val="none"/>
        </w:rPr>
        <w:t xml:space="preserve"> : KEINEN Kraftstoff mit Schwefelgehalt über 15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Bei allen Motoren, die der Emissionsnorm Stage-V entsprechen (Motoren, die mit DPF ausgestattet sind), muss das zu verwendende Öl obligatorisch der Spezifikation API CJ-4 Low S.A.P.S oder ACEA E6 Low S.A.P.S. entsprechen.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KEINEN Kraftstoff mit Schwefelgehalt über 500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Low-SAPS-Öle mit weniger als 1 % Sulfatasche dürfen bei Kraftstoffen mit Schwefelgehalt über 50ppm nicht verwendet werden.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4116576" name="name471167a37019cdce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1167a37019cdce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Bei Verwendung anderer Arten von Kraftstoff kann der Motor beschädigt werden. Keinen schlechten Dieselkraftstoff oder Diesel-Wasser-Gemische benutzen, da dies zu schwerwiegenden Störungen am Motor führt.</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Bei Störungen, die durch die Verwendung anderer als der vorgeschriebenen Kraftstoffe entstehen, erlischt die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7653385" name="name857067a37019e56a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03567a37019e56a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Warnung</w:t>
            </w:r>
          </w:p>
          <w:p>
            <w:pPr>
              <w:numPr>
                <w:ilvl w:val="0"/>
                <w:numId w:val="20770"/>
              </w:numPr>
              <w:spacing w:before="0" w:after="0" w:line="262" w:lineRule="auto"/>
              <w:jc w:val="left"/>
              <w:rPr>
                <w:color w:val="00274C"/>
                <w:sz w:val="20"/>
                <w:szCs w:val="20"/>
              </w:rPr>
            </w:pPr>
            <w:r>
              <w:rPr>
                <w:color w:val="00274C"/>
                <w:position w:val="0"/>
                <w:sz w:val="20"/>
                <w:szCs w:val="20"/>
                <w:u w:val="none"/>
              </w:rPr>
              <w:t xml:space="preserve">Sauberer Kraftstoff verhindert, dass die Kraftstoffinjektoren verstopfen. Beim Nachfüllen sofort verschütteten Kraftstoff beseitigen. </w:t>
            </w:r>
          </w:p>
          <w:p>
            <w:pPr>
              <w:numPr>
                <w:ilvl w:val="0"/>
                <w:numId w:val="20770"/>
              </w:numPr>
              <w:spacing w:before="0" w:after="0" w:line="262" w:lineRule="auto"/>
              <w:jc w:val="left"/>
              <w:rPr>
                <w:color w:val="00274C"/>
                <w:sz w:val="20"/>
                <w:szCs w:val="20"/>
              </w:rPr>
            </w:pPr>
            <w:r>
              <w:rPr>
                <w:color w:val="00274C"/>
                <w:position w:val="0"/>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numPr>
                <w:ilvl w:val="0"/>
                <w:numId w:val="20770"/>
              </w:numPr>
              <w:spacing w:before="0" w:after="0" w:line="262" w:lineRule="auto"/>
              <w:jc w:val="left"/>
              <w:rPr>
                <w:color w:val="00274C"/>
                <w:sz w:val="20"/>
                <w:szCs w:val="20"/>
              </w:rPr>
            </w:pPr>
            <w:r>
              <w:rPr>
                <w:color w:val="00274C"/>
                <w:position w:val="0"/>
                <w:sz w:val="20"/>
                <w:szCs w:val="20"/>
                <w:u w:val="none"/>
              </w:rPr>
              <w:t xml:space="preserve">Jeder Fehler, der durch die Verwendung eines anderen Kraftstoffs als </w:t>
            </w:r>
            <w:r>
              <w:rPr>
                <w:b/>
                <w:bCs/>
                <w:color w:val="00274C"/>
                <w:position w:val="0"/>
                <w:sz w:val="20"/>
                <w:szCs w:val="20"/>
                <w:u w:val="none"/>
              </w:rPr>
              <w:t xml:space="preserve">Tab. 2.3, 2.4</w:t>
            </w:r>
            <w:r>
              <w:rPr>
                <w:color w:val="00274C"/>
                <w:position w:val="0"/>
                <w:sz w:val="20"/>
                <w:szCs w:val="20"/>
                <w:u w:val="none"/>
              </w:rPr>
              <w:t xml:space="preserve"> fallen nicht unter die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Cetanzahl von mindestens 40. Eine Cetanzahl größer als 47 wird bevorzugt, insbesondere bei Temperaturen unter –20 °C (–4 °F) oder Höhen über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Zertifizierung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Anmerkungen</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In den Regionen, die als Dieselkraftstoff mit schlechter Schmierfähigkeit bekannt sind, oder wenn der Motor mit Düsentreibstoffen betrieben wird, muss der Primärfilter über eine Schmiermitteldosierung verfügen. Wenden Sie sich an Kohler, um Informationen zu zugelassenen Filtern für diesen Zweck zu erhalten.</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Kraftstofftyp --&gt;</w:t>
                  </w: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KEINE Pflanzenöle als Biokraftstoff, die nicht mit der Vorschrift EN590 konform sind.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Leistung und Drehmoment können aufgrund der geringen Kraftstoffdichte im Vergleich zu Standard-Dieselkraftstoff 1 % bis 5 % niedriger sein.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Militärischer NATO-Kraftstoff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bei Umgebungstemperaturen unter 0 °C (32 °F) ohne arktischen Kraftstoff (Klasse 1-D S15, Klasse 2-D S15, ASTM D 975) die folgenden Additive, um mögliche Motorschäden bei niedriger Motorlast im kaltem Wetter zu vermeiden: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Andere Additive sind nicht erlaubt.</w:t>
                  </w:r>
                </w:p>
                <w:p>
                  <w:pPr>
                    <w:widowControl w:val="on"/>
                    <w:pBdr/>
                    <w:spacing w:before="0" w:after="0" w:line="262" w:lineRule="auto"/>
                    <w:ind w:left="0" w:right="0"/>
                    <w:jc w:val="left"/>
                    <w:textAlignment w:val="center"/>
                  </w:pPr>
                  <w:r>
                    <w:rPr>
                      <w:color w:val="00274C"/>
                      <w:position w:val="-2"/>
                      <w:sz w:val="20"/>
                      <w:szCs w:val="20"/>
                      <w:u w:val="none"/>
                    </w:rPr>
                    <w:t xml:space="preserve">Die Verwendung zugelassener Additive hat keinen Einfluss auf den Wartungsplan des Motors.</w:t>
                  </w:r>
                </w:p>
                <w:p/>
                <w:p/>
                <w:p>
                  <w:pPr>
                    <w:widowControl w:val="on"/>
                    <w:pBdr/>
                    <w:spacing w:before="0" w:after="0" w:line="262" w:lineRule="auto"/>
                    <w:ind w:left="0" w:right="0"/>
                    <w:jc w:val="left"/>
                    <w:textAlignment w:val="center"/>
                  </w:pPr>
                  <w:r>
                    <w:rPr>
                      <w:color w:val="00274C"/>
                      <w:position w:val="-2"/>
                      <w:sz w:val="20"/>
                      <w:szCs w:val="20"/>
                      <w:u w:val="none"/>
                    </w:rPr>
                    <w:t xml:space="preserve">Verwenden Sie KEINE Pflanzenöle als Biokraftstoff, die nicht mit der Vorschrift ASTM D975 Grade 1 und Grade 2 konform sind.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Schwefelbrennstoff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Schwefelbrennstoff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 mit hohem Schwefelgehalt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Kraftstoff mit hohem Schwefelgehalt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(Kerosin, NATO-Bezeichnung)</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Betrieb mit Düsentreibstoffen</w:t>
                  </w:r>
                </w:p>
                <w:p/>
                <w:p/>
                <w:p>
                  <w:pPr>
                    <w:widowControl w:val="on"/>
                    <w:pBdr/>
                    <w:spacing w:before="0" w:after="0" w:line="262" w:lineRule="auto"/>
                    <w:ind w:left="0" w:right="0"/>
                    <w:jc w:val="left"/>
                    <w:textAlignment w:val="center"/>
                  </w:pPr>
                  <w:r>
                    <w:rPr>
                      <w:color w:val="00274C"/>
                      <w:position w:val="-2"/>
                      <w:sz w:val="20"/>
                      <w:szCs w:val="20"/>
                      <w:u w:val="none"/>
                    </w:rPr>
                    <w:t xml:space="preserve">Unter den aufgeführten Kerosinen gibt es einige problematische Treibstoffeigenschaften (Viskosität, Schmierfähigkeit und niedriger Siedepunkt). Es ist mit einem leicht erhöhten Verschleiß im Einspritzsystem zu rechnen, was zu einer statistisch geringeren Lebensdauer dieser Komponenten führen kann. Der Schwefelgehalt muss unter 2000 ppm liegen.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(Kerosin, NATO-Bezeichnung)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(Kerosin, NATO-Bezeichnung, entspricht F-34/F-35 mit Additiven)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(Kerosin, US-Militärbezeichnung)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(Kerosin, US-Militärbezeichnung)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(Kerosin für die Zivilluftfahrt)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(Kerosin für die Zivilluftfahrt)</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KRAFTSTOFFADDITIVE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Anmerkungen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Kraftstoffadditive mit Biozid-/Algizidfunktion sind nur bei längerer Lagerung des Kraftstoffs im Tank (ein Jahr oder länger) zulässig.</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Wenden Sie sich für empfohlene Marken und Typen an Kohler-Mitarbeiter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Diese Additive müssen beim Befüllen des Tanks gemäß den vom Produkt vorgeschriebenen Prozentsätzen im Kraftstoff verdünnt werden.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 mit anderen Funktionen als Biozid / Algizid sind nicht erlaubt.</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KDI-Motorfamilie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6578221" name="name544867a3701a0cf6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5067a3701a0cf6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20770"/>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6 Jahre oder 6000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Kohler 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BATTERIETYP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Steuertafel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der </w:t>
            </w:r>
            <w:r>
              <w:rPr>
                <w:b/>
                <w:bCs/>
                <w:color w:val="00274C"/>
                <w:position w:val="-2"/>
                <w:sz w:val="20"/>
                <w:szCs w:val="20"/>
                <w:u w:val="none"/>
              </w:rPr>
              <w:t xml:space="preserve">Tab. 2.8</w:t>
            </w:r>
            <w:r>
              <w:rPr>
                <w:color w:val="00274C"/>
                <w:position w:val="-2"/>
                <w:sz w:val="20"/>
                <w:szCs w:val="20"/>
                <w:u w:val="none"/>
              </w:rPr>
              <w:t xml:space="preserve">  sind die Komponenten der Steuertafel angeführt.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Schlüsselschalter zum Einschalten von Schalttafel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zur Anzeige der Motordaten und -fehler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oberes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unteres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Taste zur Auswahl oder Eingaben von 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Motorbetriebsstatus (grün = keine Störung ermittelt)</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0818655" name="name976367a3701a24acf"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39867a3701a24aca"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Wenn die LED </w:t>
            </w:r>
            <w:r>
              <w:rPr>
                <w:b/>
                <w:bCs/>
                <w:color w:val="00274C"/>
                <w:position w:val="-2"/>
                <w:sz w:val="20"/>
                <w:szCs w:val="20"/>
                <w:u w:val="none"/>
              </w:rPr>
              <w:t xml:space="preserve">F</w:t>
            </w:r>
            <w:r>
              <w:rPr>
                <w:color w:val="00274C"/>
                <w:position w:val="-2"/>
                <w:sz w:val="20"/>
                <w:szCs w:val="20"/>
                <w:u w:val="none"/>
              </w:rPr>
              <w:t xml:space="preserve"> rot aufleuchtet, die </w:t>
            </w:r>
            <w:r>
              <w:rPr>
                <w:b/>
                <w:bCs/>
                <w:color w:val="00274C"/>
                <w:position w:val="-2"/>
                <w:sz w:val="20"/>
                <w:szCs w:val="20"/>
                <w:u w:val="none"/>
              </w:rPr>
              <w:t xml:space="preserve">KOHLER</w:t>
            </w:r>
            <w:r>
              <w:rPr>
                <w:color w:val="00274C"/>
                <w:position w:val="-2"/>
                <w:sz w:val="20"/>
                <w:szCs w:val="20"/>
                <w:u w:val="none"/>
              </w:rPr>
              <w:t xml:space="preserve"> Fachwerkstätten zur Feststellung der Art der Störung kontaktieren. Bei einigen Störungen wird die automatische Motorabschaltung aktiviert.</w:t>
            </w:r>
          </w:p>
          <w:p/>
          <w:p/>
          <w:p>
            <w:pPr>
              <w:widowControl w:val="on"/>
              <w:pBdr/>
              <w:spacing w:before="0" w:after="0" w:line="262" w:lineRule="auto"/>
              <w:ind w:left="0" w:right="0"/>
              <w:jc w:val="left"/>
              <w:textAlignment w:val="center"/>
            </w:pPr>
            <w:r>
              <w:rPr>
                <w:color w:val="00274C"/>
                <w:position w:val="-2"/>
                <w:sz w:val="20"/>
                <w:szCs w:val="20"/>
                <w:u w:val="none"/>
              </w:rPr>
              <w:t xml:space="preserve">In der </w:t>
            </w:r>
            <w:r>
              <w:rPr>
                <w:b/>
                <w:bCs/>
                <w:color w:val="00274C"/>
                <w:position w:val="-2"/>
                <w:sz w:val="20"/>
                <w:szCs w:val="20"/>
                <w:u w:val="none"/>
              </w:rPr>
              <w:t xml:space="preserve">Tab. 2.9</w:t>
            </w:r>
            <w:r>
              <w:rPr>
                <w:color w:val="00274C"/>
                <w:position w:val="-2"/>
                <w:sz w:val="20"/>
                <w:szCs w:val="20"/>
                <w:u w:val="none"/>
              </w:rPr>
              <w:t xml:space="preserve">  werden die Daten angezeigt, die auf dem Display </w:t>
            </w:r>
            <w:r>
              <w:rPr>
                <w:b/>
                <w:bCs/>
                <w:color w:val="00274C"/>
                <w:position w:val="-2"/>
                <w:sz w:val="20"/>
                <w:szCs w:val="20"/>
                <w:u w:val="none"/>
              </w:rPr>
              <w:t xml:space="preserve">B</w:t>
            </w:r>
            <w:r>
              <w:rPr>
                <w:color w:val="00274C"/>
                <w:position w:val="-2"/>
                <w:sz w:val="20"/>
                <w:szCs w:val="20"/>
                <w:u w:val="none"/>
              </w:rPr>
              <w:t xml:space="preserve"> durch Drücken der Tasten </w:t>
            </w:r>
            <w:r>
              <w:rPr>
                <w:b/>
                <w:bCs/>
                <w:color w:val="00274C"/>
                <w:position w:val="-2"/>
                <w:sz w:val="20"/>
                <w:szCs w:val="20"/>
                <w:u w:val="none"/>
              </w:rPr>
              <w:t xml:space="preserve">C</w:t>
            </w:r>
            <w:r>
              <w:rPr>
                <w:color w:val="00274C"/>
                <w:position w:val="-2"/>
                <w:sz w:val="20"/>
                <w:szCs w:val="20"/>
                <w:u w:val="none"/>
              </w:rPr>
              <w:t xml:space="preserve"> oder </w:t>
            </w:r>
            <w:r>
              <w:rPr>
                <w:b/>
                <w:bCs/>
                <w:color w:val="00274C"/>
                <w:position w:val="-2"/>
                <w:sz w:val="20"/>
                <w:szCs w:val="20"/>
                <w:u w:val="none"/>
              </w:rPr>
              <w:t xml:space="preserve">D</w:t>
            </w:r>
            <w:r>
              <w:rPr>
                <w:color w:val="00274C"/>
                <w:position w:val="-2"/>
                <w:sz w:val="20"/>
                <w:szCs w:val="20"/>
                <w:u w:val="none"/>
              </w:rPr>
              <w:t xml:space="preserve"> abgerufen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in der </w:t>
            </w:r>
            <w:r>
              <w:rPr>
                <w:b/>
                <w:bCs/>
                <w:color w:val="00274C"/>
                <w:position w:val="-2"/>
                <w:sz w:val="20"/>
                <w:szCs w:val="20"/>
                <w:u w:val="none"/>
              </w:rPr>
              <w:t xml:space="preserve">2.9</w:t>
            </w:r>
            <w:r>
              <w:rPr>
                <w:color w:val="00274C"/>
                <w:position w:val="-2"/>
                <w:sz w:val="20"/>
                <w:szCs w:val="20"/>
                <w:u w:val="none"/>
              </w:rPr>
              <w:t xml:space="preserve">  beschriebenen Daten können abweichen, siehe in diesem Fall das Handbuch der Maschine.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Betriebsstunden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Verbleibende Stunden bis zur Wartung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Motordrehzahl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Verwendetes Drehmoment @ U/min (% Verwendung)</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771">
    <w:multiLevelType w:val="hybridMultilevel"/>
    <w:lvl w:ilvl="0" w:tplc="14913914">
      <w:start w:val="1"/>
      <w:numFmt w:val="decimal"/>
      <w:lvlText w:val="%1."/>
      <w:lvlJc w:val="left"/>
      <w:pPr>
        <w:ind w:left="720" w:hanging="360"/>
      </w:pPr>
    </w:lvl>
    <w:lvl w:ilvl="1" w:tplc="14913914" w:tentative="1">
      <w:start w:val="1"/>
      <w:numFmt w:val="lowerLetter"/>
      <w:lvlText w:val="%2."/>
      <w:lvlJc w:val="left"/>
      <w:pPr>
        <w:ind w:left="1440" w:hanging="360"/>
      </w:pPr>
    </w:lvl>
    <w:lvl w:ilvl="2" w:tplc="14913914" w:tentative="1">
      <w:start w:val="1"/>
      <w:numFmt w:val="lowerRoman"/>
      <w:lvlText w:val="%3."/>
      <w:lvlJc w:val="right"/>
      <w:pPr>
        <w:ind w:left="2160" w:hanging="180"/>
      </w:pPr>
    </w:lvl>
    <w:lvl w:ilvl="3" w:tplc="14913914" w:tentative="1">
      <w:start w:val="1"/>
      <w:numFmt w:val="decimal"/>
      <w:lvlText w:val="%4."/>
      <w:lvlJc w:val="left"/>
      <w:pPr>
        <w:ind w:left="2880" w:hanging="360"/>
      </w:pPr>
    </w:lvl>
    <w:lvl w:ilvl="4" w:tplc="14913914" w:tentative="1">
      <w:start w:val="1"/>
      <w:numFmt w:val="lowerLetter"/>
      <w:lvlText w:val="%5."/>
      <w:lvlJc w:val="left"/>
      <w:pPr>
        <w:ind w:left="3600" w:hanging="360"/>
      </w:pPr>
    </w:lvl>
    <w:lvl w:ilvl="5" w:tplc="14913914" w:tentative="1">
      <w:start w:val="1"/>
      <w:numFmt w:val="lowerRoman"/>
      <w:lvlText w:val="%6."/>
      <w:lvlJc w:val="right"/>
      <w:pPr>
        <w:ind w:left="4320" w:hanging="180"/>
      </w:pPr>
    </w:lvl>
    <w:lvl w:ilvl="6" w:tplc="14913914" w:tentative="1">
      <w:start w:val="1"/>
      <w:numFmt w:val="decimal"/>
      <w:lvlText w:val="%7."/>
      <w:lvlJc w:val="left"/>
      <w:pPr>
        <w:ind w:left="5040" w:hanging="360"/>
      </w:pPr>
    </w:lvl>
    <w:lvl w:ilvl="7" w:tplc="14913914" w:tentative="1">
      <w:start w:val="1"/>
      <w:numFmt w:val="lowerLetter"/>
      <w:lvlText w:val="%8."/>
      <w:lvlJc w:val="left"/>
      <w:pPr>
        <w:ind w:left="5760" w:hanging="360"/>
      </w:pPr>
    </w:lvl>
    <w:lvl w:ilvl="8" w:tplc="14913914" w:tentative="1">
      <w:start w:val="1"/>
      <w:numFmt w:val="lowerRoman"/>
      <w:lvlText w:val="%9."/>
      <w:lvlJc w:val="right"/>
      <w:pPr>
        <w:ind w:left="6480" w:hanging="180"/>
      </w:pPr>
    </w:lvl>
  </w:abstractNum>
  <w:abstractNum w:abstractNumId="20770">
    <w:multiLevelType w:val="hybridMultilevel"/>
    <w:lvl w:ilvl="0" w:tplc="6681195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770">
    <w:abstractNumId w:val="20770"/>
  </w:num>
  <w:num w:numId="20771">
    <w:abstractNumId w:val="207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4730740" Type="http://schemas.openxmlformats.org/officeDocument/2006/relationships/comments" Target="comments.xml"/><Relationship Id="rId929735821" Type="http://schemas.microsoft.com/office/2011/relationships/commentsExtended" Target="commentsExtended.xml"/><Relationship Id="rId17672938" Type="http://schemas.openxmlformats.org/officeDocument/2006/relationships/image" Target="media/imgrId17672938.jpg"/><Relationship Id="rId645267a37019414d9" Type="http://schemas.openxmlformats.org/officeDocument/2006/relationships/image" Target="media/imgrId645267a37019414d9.jpg"/><Relationship Id="rId254867a3701969c33" Type="http://schemas.openxmlformats.org/officeDocument/2006/relationships/image" Target="media/imgrId254867a3701969c33.jpg"/><Relationship Id="rId868467a370198eb3f" Type="http://schemas.openxmlformats.org/officeDocument/2006/relationships/image" Target="media/imgrId868467a370198eb3f.jpg"/><Relationship Id="rId287567a370199bb42" Type="http://schemas.openxmlformats.org/officeDocument/2006/relationships/image" Target="media/imgrId287567a370199bb42.jpg"/><Relationship Id="rId402167a37019ad6b6" Type="http://schemas.openxmlformats.org/officeDocument/2006/relationships/image" Target="media/imgrId402167a37019ad6b6.jpg"/><Relationship Id="rId751167a37019cdce0" Type="http://schemas.openxmlformats.org/officeDocument/2006/relationships/image" Target="media/imgrId751167a37019cdce0.png"/><Relationship Id="rId903567a37019e56a8" Type="http://schemas.openxmlformats.org/officeDocument/2006/relationships/image" Target="media/imgrId903567a37019e56a8.png"/><Relationship Id="rId395067a3701a0cf61" Type="http://schemas.openxmlformats.org/officeDocument/2006/relationships/image" Target="media/imgrId395067a3701a0cf61.png"/><Relationship Id="rId839867a3701a24aca" Type="http://schemas.openxmlformats.org/officeDocument/2006/relationships/image" Target="media/imgrId839867a3701a24ac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7672938" Type="http://schemas.openxmlformats.org/officeDocument/2006/relationships/image" Target="media/imgrId1767293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7672938" Type="http://schemas.openxmlformats.org/officeDocument/2006/relationships/image" Target="media/imgrId1767293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7672938" Type="http://schemas.openxmlformats.org/officeDocument/2006/relationships/image" Target="media/imgrId1767293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7672938" Type="http://schemas.openxmlformats.org/officeDocument/2006/relationships/image" Target="media/imgrId1767293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7672938" Type="http://schemas.openxmlformats.org/officeDocument/2006/relationships/image" Target="media/imgrId1767293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7672938" Type="http://schemas.openxmlformats.org/officeDocument/2006/relationships/image" Target="media/imgrId176729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