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Owner Manual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91072089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5253434"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5603633" w:name="ctxt"/>
    <w:bookmarkEnd w:id="65603633"/>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0483"/>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048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2048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048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3.2.1 Note for OEM</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When installing the KDI engines, always bear in mind that any variation to the functional systems may result in serious failures to the engine.</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Any improvement must be verified at </w:t>
            </w:r>
            <w:r>
              <w:rPr>
                <w:b/>
                <w:bCs/>
                <w:color w:val="00274C"/>
                <w:position w:val="-2"/>
                <w:sz w:val="20"/>
                <w:szCs w:val="20"/>
                <w:u w:val="none"/>
              </w:rPr>
              <w:t xml:space="preserve">KOHLER</w:t>
            </w:r>
            <w:r>
              <w:rPr>
                <w:color w:val="00274C"/>
                <w:position w:val="-2"/>
                <w:sz w:val="20"/>
                <w:szCs w:val="20"/>
                <w:u w:val="none"/>
              </w:rPr>
              <w:t xml:space="preserve"> testing laboratories before application of the engine.</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In case the approval to a modification is not granted, </w:t>
            </w:r>
            <w:r>
              <w:rPr>
                <w:b/>
                <w:bCs/>
                <w:color w:val="00274C"/>
                <w:position w:val="-2"/>
                <w:sz w:val="20"/>
                <w:szCs w:val="20"/>
                <w:u w:val="none"/>
              </w:rPr>
              <w:t xml:space="preserve">KOHLER</w:t>
            </w:r>
            <w:r>
              <w:rPr>
                <w:color w:val="00274C"/>
                <w:position w:val="-2"/>
                <w:sz w:val="20"/>
                <w:szCs w:val="20"/>
                <w:u w:val="none"/>
              </w:rPr>
              <w:t xml:space="preserve"> shall not be deemed responsible for any consequential failures or damages to the engine.</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2048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048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Pr>
              <w:widowControl w:val="on"/>
              <w:pBdr/>
              <w:spacing w:before="0" w:after="0" w:line="262" w:lineRule="auto"/>
              <w:ind w:left="0" w:right="0"/>
              <w:jc w:val="left"/>
              <w:textAlignment w:val="center"/>
            </w:pPr>
            <w:r>
              <w:rPr>
                <w:b/>
                <w:bCs/>
                <w:color w:val="00274C"/>
                <w:position w:val="-2"/>
                <w:sz w:val="20"/>
                <w:szCs w:val="20"/>
                <w:u w:val="none"/>
              </w:rPr>
              <w:br/>
              <w:t xml:space="preserve">3.2.2</w:t>
            </w:r>
            <w:r>
              <w:rPr>
                <w:color w:val="00274C"/>
                <w:position w:val="-2"/>
                <w:sz w:val="20"/>
                <w:szCs w:val="20"/>
                <w:u w:val="none"/>
              </w:rPr>
              <w:t xml:space="preserve"> </w:t>
            </w:r>
            <w:r>
              <w:rPr>
                <w:b/>
                <w:bCs/>
                <w:color w:val="00274C"/>
                <w:position w:val="-2"/>
                <w:sz w:val="20"/>
                <w:szCs w:val="20"/>
                <w:u w:val="none"/>
              </w:rPr>
              <w:t xml:space="preserve">Note for end user</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On starting, make sure that the engine is as horizontal as possible, unless the machine specifications differ.</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Make sure that the machine is stable to prevent the risk of overturning.</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To prevent fire hazards, always keep the machine at least one meter from buildings or from other machinery.</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Children and animals must be kept at a due distance from operating machines in order to prevent hazards deriving from their operation.</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Fuel and oil are inflammable. The tank must only be filled when the engine is off. Before starting, dry any spilt fuel.</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Make sure that no soundproofing panels and the ground or floor on which the machine is standing have not soaked up any fuel.</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Do not smoke or use open flames when refuelling.</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During operation, the surface of the engine can become dangerously hot. Avoid touching the exhaust system in particular.</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Before proceeding with any operation on the engine, stop it and allow it to cool.</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Always open the radiator plug or expansion chamber with the utmost caution, wearing protective garments and goggles.</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The coolant fluid is under pressure. Never carry out any inspections until the engine has cooled.</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If there is an electric fan, do not approach the engine when it is still hot as the fan could also start operating when the engine is at a standstill.</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0386985" name="name691767b988346b37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23867b988346b37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Check belt tension only when the engine is off.</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Fully tighten the tank cap each time after refuelling. Do not fill the tank right to the top but leave an adequate space for the fuel to expand.</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Before starting, remove any tools that were used to service the engine and/or machine. Make sure that all guards have been refitted.</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Pay attention to the temperature of the oil filter when the filter itself is replaced.</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Do not use air and water jets at high pressures on cables, connectors and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0483"/>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0483"/>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8319586" name="name607767b98834769bb"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458567b98834769b5"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89268509" name="name349367b98834810f5"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622767b98834810f0"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57728446" name="name858067b9883489613"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881467b988348960f"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7350638" name="name342767b9883491bda"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212567b9883491bd5"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18111197" name="name866067b988349cda5"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530967b988349cda0"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0541567" name="name337067b98834a8e79"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354467b98834a8e74"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7853689" name="name939467b98834b234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31267b98834b233d"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8708412" name="name819867b98834b9d8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37167b98834b9d7e"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20146184" name="name476567b98834c8554"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434767b98834c854f"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49046867" name="name800767b98834d3a4b"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462967b98834d3a46"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98988305" name="name441067b98834dc672"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950667b98834dc66e"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7731839" name="name167267b98834e70e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2067b98834e70e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2902684" name="name482367b98834ef3e4"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127367b98834ef3df"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45010471" name="name390367b9883502d10"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864667b9883502d0b"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80758417" name="name407467b988350aaa8"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529967b988350aaa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65266" name="name708067b988351046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51467b988351046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6095740" name="name950867b988351b718"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978667b988351b71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4636638" name="name210167b988352456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8267b988352456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3178317" name="name610067b988352df1d"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912667b988352df1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7481582" name="name161867b9883535e2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06867b9883535e2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7221838" name="name991767b988353e876"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574467b988353e87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7066143" name="name349267b98835478f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78467b98835478f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8565099" name="name694367b9883550024"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603767b988355001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3272198" name="name542067b988355935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66867b988355935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150277" name="name957867b9883561709"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567467b988356170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4765600" name="name570767b988356afb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93967b988356afb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523361" name="name188267b9883573f69"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713067b9883573f6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7922302" name="name785567b988357cad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62167b988357cad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915762" name="name331667b9883584d36"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37467b9883584d3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5368044" name="name291367b988358d13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96067b988358d13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484">
    <w:multiLevelType w:val="hybridMultilevel"/>
    <w:lvl w:ilvl="0" w:tplc="46104524">
      <w:start w:val="1"/>
      <w:numFmt w:val="decimal"/>
      <w:lvlText w:val="%1."/>
      <w:lvlJc w:val="left"/>
      <w:pPr>
        <w:ind w:left="720" w:hanging="360"/>
      </w:pPr>
    </w:lvl>
    <w:lvl w:ilvl="1" w:tplc="46104524" w:tentative="1">
      <w:start w:val="1"/>
      <w:numFmt w:val="lowerLetter"/>
      <w:lvlText w:val="%2."/>
      <w:lvlJc w:val="left"/>
      <w:pPr>
        <w:ind w:left="1440" w:hanging="360"/>
      </w:pPr>
    </w:lvl>
    <w:lvl w:ilvl="2" w:tplc="46104524" w:tentative="1">
      <w:start w:val="1"/>
      <w:numFmt w:val="lowerRoman"/>
      <w:lvlText w:val="%3."/>
      <w:lvlJc w:val="right"/>
      <w:pPr>
        <w:ind w:left="2160" w:hanging="180"/>
      </w:pPr>
    </w:lvl>
    <w:lvl w:ilvl="3" w:tplc="46104524" w:tentative="1">
      <w:start w:val="1"/>
      <w:numFmt w:val="decimal"/>
      <w:lvlText w:val="%4."/>
      <w:lvlJc w:val="left"/>
      <w:pPr>
        <w:ind w:left="2880" w:hanging="360"/>
      </w:pPr>
    </w:lvl>
    <w:lvl w:ilvl="4" w:tplc="46104524" w:tentative="1">
      <w:start w:val="1"/>
      <w:numFmt w:val="lowerLetter"/>
      <w:lvlText w:val="%5."/>
      <w:lvlJc w:val="left"/>
      <w:pPr>
        <w:ind w:left="3600" w:hanging="360"/>
      </w:pPr>
    </w:lvl>
    <w:lvl w:ilvl="5" w:tplc="46104524" w:tentative="1">
      <w:start w:val="1"/>
      <w:numFmt w:val="lowerRoman"/>
      <w:lvlText w:val="%6."/>
      <w:lvlJc w:val="right"/>
      <w:pPr>
        <w:ind w:left="4320" w:hanging="180"/>
      </w:pPr>
    </w:lvl>
    <w:lvl w:ilvl="6" w:tplc="46104524" w:tentative="1">
      <w:start w:val="1"/>
      <w:numFmt w:val="decimal"/>
      <w:lvlText w:val="%7."/>
      <w:lvlJc w:val="left"/>
      <w:pPr>
        <w:ind w:left="5040" w:hanging="360"/>
      </w:pPr>
    </w:lvl>
    <w:lvl w:ilvl="7" w:tplc="46104524" w:tentative="1">
      <w:start w:val="1"/>
      <w:numFmt w:val="lowerLetter"/>
      <w:lvlText w:val="%8."/>
      <w:lvlJc w:val="left"/>
      <w:pPr>
        <w:ind w:left="5760" w:hanging="360"/>
      </w:pPr>
    </w:lvl>
    <w:lvl w:ilvl="8" w:tplc="46104524" w:tentative="1">
      <w:start w:val="1"/>
      <w:numFmt w:val="lowerRoman"/>
      <w:lvlText w:val="%9."/>
      <w:lvlJc w:val="right"/>
      <w:pPr>
        <w:ind w:left="6480" w:hanging="180"/>
      </w:pPr>
    </w:lvl>
  </w:abstractNum>
  <w:abstractNum w:abstractNumId="20483">
    <w:multiLevelType w:val="hybridMultilevel"/>
    <w:lvl w:ilvl="0" w:tplc="34897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483">
    <w:abstractNumId w:val="20483"/>
  </w:num>
  <w:num w:numId="20484">
    <w:abstractNumId w:val="204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62469602" Type="http://schemas.openxmlformats.org/officeDocument/2006/relationships/comments" Target="comments.xml"/><Relationship Id="rId325850802" Type="http://schemas.microsoft.com/office/2011/relationships/commentsExtended" Target="commentsExtended.xml"/><Relationship Id="rId15253434" Type="http://schemas.openxmlformats.org/officeDocument/2006/relationships/image" Target="media/imgrId15253434.jpg"/><Relationship Id="rId823867b988346b37a" Type="http://schemas.openxmlformats.org/officeDocument/2006/relationships/image" Target="media/imgrId823867b988346b37a.png"/><Relationship Id="rId458567b98834769b5" Type="http://schemas.openxmlformats.org/officeDocument/2006/relationships/image" Target="media/imgrId458567b98834769b5.jpg"/><Relationship Id="rId622767b98834810f0" Type="http://schemas.openxmlformats.org/officeDocument/2006/relationships/image" Target="media/imgrId622767b98834810f0.jpg"/><Relationship Id="rId881467b988348960f" Type="http://schemas.openxmlformats.org/officeDocument/2006/relationships/image" Target="media/imgrId881467b988348960f.jpg"/><Relationship Id="rId212567b9883491bd5" Type="http://schemas.openxmlformats.org/officeDocument/2006/relationships/image" Target="media/imgrId212567b9883491bd5.jpg"/><Relationship Id="rId530967b988349cda0" Type="http://schemas.openxmlformats.org/officeDocument/2006/relationships/image" Target="media/imgrId530967b988349cda0.jpg"/><Relationship Id="rId354467b98834a8e74" Type="http://schemas.openxmlformats.org/officeDocument/2006/relationships/image" Target="media/imgrId354467b98834a8e74.png"/><Relationship Id="rId431267b98834b233d" Type="http://schemas.openxmlformats.org/officeDocument/2006/relationships/image" Target="media/imgrId431267b98834b233d.png"/><Relationship Id="rId337167b98834b9d7e" Type="http://schemas.openxmlformats.org/officeDocument/2006/relationships/image" Target="media/imgrId337167b98834b9d7e.png"/><Relationship Id="rId434767b98834c854f" Type="http://schemas.openxmlformats.org/officeDocument/2006/relationships/image" Target="media/imgrId434767b98834c854f.jpg"/><Relationship Id="rId462967b98834d3a46" Type="http://schemas.openxmlformats.org/officeDocument/2006/relationships/image" Target="media/imgrId462967b98834d3a46.jpg"/><Relationship Id="rId950667b98834dc66e" Type="http://schemas.openxmlformats.org/officeDocument/2006/relationships/image" Target="media/imgrId950667b98834dc66e.jpg"/><Relationship Id="rId262067b98834e70e3" Type="http://schemas.openxmlformats.org/officeDocument/2006/relationships/image" Target="media/imgrId262067b98834e70e3.jpg"/><Relationship Id="rId127367b98834ef3df" Type="http://schemas.openxmlformats.org/officeDocument/2006/relationships/image" Target="media/imgrId127367b98834ef3df.jpg"/><Relationship Id="rId864667b9883502d0b" Type="http://schemas.openxmlformats.org/officeDocument/2006/relationships/image" Target="media/imgrId864667b9883502d0b.jpg"/><Relationship Id="rId529967b988350aaa2" Type="http://schemas.openxmlformats.org/officeDocument/2006/relationships/image" Target="media/imgrId529967b988350aaa2.jpg"/><Relationship Id="rId351467b9883510464" Type="http://schemas.openxmlformats.org/officeDocument/2006/relationships/image" Target="media/imgrId351467b9883510464.jpg"/><Relationship Id="rId978667b988351b713" Type="http://schemas.openxmlformats.org/officeDocument/2006/relationships/image" Target="media/imgrId978667b988351b713.jpg"/><Relationship Id="rId268267b9883524565" Type="http://schemas.openxmlformats.org/officeDocument/2006/relationships/image" Target="media/imgrId268267b9883524565.jpg"/><Relationship Id="rId912667b988352df18" Type="http://schemas.openxmlformats.org/officeDocument/2006/relationships/image" Target="media/imgrId912667b988352df18.jpg"/><Relationship Id="rId606867b9883535e29" Type="http://schemas.openxmlformats.org/officeDocument/2006/relationships/image" Target="media/imgrId606867b9883535e29.jpg"/><Relationship Id="rId574467b988353e870" Type="http://schemas.openxmlformats.org/officeDocument/2006/relationships/image" Target="media/imgrId574467b988353e870.jpg"/><Relationship Id="rId878467b98835478f3" Type="http://schemas.openxmlformats.org/officeDocument/2006/relationships/image" Target="media/imgrId878467b98835478f3.jpg"/><Relationship Id="rId603767b988355001f" Type="http://schemas.openxmlformats.org/officeDocument/2006/relationships/image" Target="media/imgrId603767b988355001f.jpg"/><Relationship Id="rId666867b9883559355" Type="http://schemas.openxmlformats.org/officeDocument/2006/relationships/image" Target="media/imgrId666867b9883559355.jpg"/><Relationship Id="rId567467b9883561704" Type="http://schemas.openxmlformats.org/officeDocument/2006/relationships/image" Target="media/imgrId567467b9883561704.jpg"/><Relationship Id="rId293967b988356afba" Type="http://schemas.openxmlformats.org/officeDocument/2006/relationships/image" Target="media/imgrId293967b988356afba.jpg"/><Relationship Id="rId713067b9883573f63" Type="http://schemas.openxmlformats.org/officeDocument/2006/relationships/image" Target="media/imgrId713067b9883573f63.jpg"/><Relationship Id="rId462167b988357cad7" Type="http://schemas.openxmlformats.org/officeDocument/2006/relationships/image" Target="media/imgrId462167b988357cad7.jpg"/><Relationship Id="rId137467b9883584d32" Type="http://schemas.openxmlformats.org/officeDocument/2006/relationships/image" Target="media/imgrId137467b9883584d32.jpg"/><Relationship Id="rId496067b988358d134" Type="http://schemas.openxmlformats.org/officeDocument/2006/relationships/image" Target="media/imgrId496067b988358d134.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5253434" Type="http://schemas.openxmlformats.org/officeDocument/2006/relationships/image" Target="media/imgrId1525343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5253434" Type="http://schemas.openxmlformats.org/officeDocument/2006/relationships/image" Target="media/imgrId1525343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5253434" Type="http://schemas.openxmlformats.org/officeDocument/2006/relationships/image" Target="media/imgrId1525343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5253434" Type="http://schemas.openxmlformats.org/officeDocument/2006/relationships/image" Target="media/imgrId1525343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5253434" Type="http://schemas.openxmlformats.org/officeDocument/2006/relationships/image" Target="media/imgrId1525343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5253434" Type="http://schemas.openxmlformats.org/officeDocument/2006/relationships/image" Target="media/imgrId1525343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