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null</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5237780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323982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4211723" w:name="ctxt"/>
    <w:bookmarkEnd w:id="64211723"/>
    <w:p>
      <w:pPr>
        <w:widowControl w:val="on"/>
        <w:pBdr/>
        <w:spacing w:before="75" w:after="75" w:line="240" w:lineRule="auto"/>
        <w:ind w:left="75" w:right="75"/>
        <w:jc w:val="left"/>
      </w:pPr>
    </w:p>
    <w:p>
      <w:pPr>
        <w:pStyle w:val="Titolo1"/>
      </w:pPr>
      <w:r>
        <w:rPr/>
        <w:t xml:space="preserve">技术资料</w:t>
      </w:r>
    </w:p>
    <w:p>
      <w:pPr>
        <w:widowControl w:val="on"/>
        <w:pBdr/>
        <w:spacing w:before="0" w:after="0" w:line="240" w:lineRule="auto"/>
        <w:ind w:left="0" w:right="0"/>
        <w:jc w:val="left"/>
      </w:pPr>
    </w:p>
    <w:p>
      <w:pPr>
        <w:pStyle w:val="Titolo2"/>
      </w:pPr>
      <w:r>
        <w:rPr/>
        <w:t xml:space="preserve">发动机的总体描述</w:t>
      </w:r>
    </w:p>
    <w:p>
      <w:pPr>
        <w:numPr>
          <w:ilvl w:val="0"/>
          <w:numId w:val="10030"/>
        </w:numPr>
        <w:spacing w:before="0" w:after="0" w:line="240" w:lineRule="auto"/>
        <w:jc w:val="left"/>
        <w:rPr>
          <w:color w:val="00274C"/>
          <w:sz w:val="20"/>
          <w:szCs w:val="20"/>
        </w:rPr>
      </w:pPr>
      <w:r>
        <w:rPr>
          <w:color w:val="00274C"/>
          <w:sz w:val="20"/>
          <w:szCs w:val="20"/>
          <w:u w:val="none"/>
        </w:rPr>
        <w:t xml:space="preserve">四冲程，直列式气缸-柴油-发动机；</w:t>
      </w:r>
    </w:p>
    <w:p>
      <w:pPr>
        <w:numPr>
          <w:ilvl w:val="0"/>
          <w:numId w:val="10030"/>
        </w:numPr>
        <w:spacing w:before="0" w:after="0" w:line="240" w:lineRule="auto"/>
        <w:jc w:val="left"/>
        <w:rPr>
          <w:color w:val="00274C"/>
          <w:sz w:val="20"/>
          <w:szCs w:val="20"/>
        </w:rPr>
      </w:pPr>
      <w:r>
        <w:rPr>
          <w:color w:val="00274C"/>
          <w:sz w:val="20"/>
          <w:szCs w:val="20"/>
          <w:u w:val="none"/>
        </w:rPr>
        <w:t xml:space="preserve">液冷系统；</w:t>
      </w:r>
    </w:p>
    <w:p>
      <w:pPr>
        <w:numPr>
          <w:ilvl w:val="0"/>
          <w:numId w:val="10030"/>
        </w:numPr>
        <w:spacing w:before="0" w:after="0" w:line="240" w:lineRule="auto"/>
        <w:jc w:val="left"/>
        <w:rPr>
          <w:color w:val="00274C"/>
          <w:sz w:val="20"/>
          <w:szCs w:val="20"/>
        </w:rPr>
      </w:pPr>
      <w:r>
        <w:rPr>
          <w:color w:val="00274C"/>
          <w:sz w:val="20"/>
          <w:szCs w:val="20"/>
          <w:u w:val="none"/>
        </w:rPr>
        <w:t xml:space="preserve">带液压挺柱，每缸四气门；</w:t>
      </w:r>
    </w:p>
    <w:p>
      <w:pPr>
        <w:numPr>
          <w:ilvl w:val="0"/>
          <w:numId w:val="10030"/>
        </w:numPr>
        <w:spacing w:before="0" w:after="0" w:line="240" w:lineRule="auto"/>
        <w:jc w:val="left"/>
        <w:rPr>
          <w:color w:val="00274C"/>
          <w:sz w:val="20"/>
          <w:szCs w:val="20"/>
        </w:rPr>
      </w:pPr>
      <w:r>
        <w:rPr>
          <w:color w:val="00274C"/>
          <w:sz w:val="20"/>
          <w:szCs w:val="20"/>
          <w:u w:val="none"/>
        </w:rPr>
        <w:t xml:space="preserve">直喷。</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柴油</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255854" name="name157067d63d19ec30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5767d63d19ec30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重要信息</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030"/>
        </w:numPr>
        <w:spacing w:before="0" w:after="0" w:line="240" w:lineRule="auto"/>
        <w:jc w:val="left"/>
        <w:rPr>
          <w:color w:val="00274C"/>
          <w:sz w:val="20"/>
          <w:szCs w:val="20"/>
        </w:rPr>
      </w:pPr>
      <w:r>
        <w:rPr>
          <w:color w:val="00274C"/>
          <w:sz w:val="20"/>
          <w:szCs w:val="20"/>
          <w:u w:val="none"/>
        </w:rPr>
        <w:t xml:space="preserve">用其他类型的燃料可能会损坏发动机。请勿使用脏污柴油燃料或柴油燃料与水的混合物，因为这样会导致严重的发动机故障。</w:t>
      </w:r>
    </w:p>
    <w:p>
      <w:pPr>
        <w:numPr>
          <w:ilvl w:val="0"/>
          <w:numId w:val="10030"/>
        </w:numPr>
        <w:spacing w:before="0" w:after="0" w:line="240" w:lineRule="auto"/>
        <w:jc w:val="left"/>
        <w:rPr>
          <w:color w:val="00274C"/>
          <w:sz w:val="20"/>
          <w:szCs w:val="20"/>
        </w:rPr>
      </w:pPr>
      <w:r>
        <w:rPr>
          <w:b/>
          <w:bCs/>
          <w:color w:val="00274C"/>
          <w:sz w:val="20"/>
          <w:szCs w:val="20"/>
          <w:u w:val="none"/>
        </w:rPr>
        <w:t xml:space="preserve">使用推荐以外的其他燃料所导致的任何故障均无法获得保修。</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812215" name="name379767d63d1a0135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77767d63d1a0135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警告</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0030"/>
        </w:numPr>
        <w:spacing w:before="0" w:after="0" w:line="240" w:lineRule="auto"/>
        <w:jc w:val="left"/>
        <w:rPr>
          <w:color w:val="00274C"/>
          <w:sz w:val="20"/>
          <w:szCs w:val="20"/>
        </w:rPr>
      </w:pPr>
      <w:r>
        <w:rPr>
          <w:color w:val="00274C"/>
          <w:sz w:val="20"/>
          <w:szCs w:val="20"/>
          <w:u w:val="none"/>
        </w:rPr>
        <w:t xml:space="preserve">清洁燃料可防止燃料喷射器堵塞。补给燃料时应及时清理任何溢出物。</w:t>
      </w:r>
    </w:p>
    <w:p>
      <w:pPr>
        <w:numPr>
          <w:ilvl w:val="0"/>
          <w:numId w:val="10030"/>
        </w:numPr>
        <w:spacing w:before="0" w:after="0" w:line="240" w:lineRule="auto"/>
        <w:jc w:val="left"/>
        <w:rPr>
          <w:color w:val="00274C"/>
          <w:sz w:val="20"/>
          <w:szCs w:val="20"/>
        </w:rPr>
      </w:pPr>
      <w:r>
        <w:rPr>
          <w:color w:val="00274C"/>
          <w:sz w:val="20"/>
          <w:szCs w:val="20"/>
          <w:u w:val="none"/>
        </w:rPr>
        <w:t xml:space="preserve">切勿在镀锌容器（即，带有锌涂层的容器）中存储柴油燃料。柴油燃料和镀锌涂层彼此会发生化学反应，产生迅速堵塞过滤器或导致燃油泵和/或喷射器故障的剥落物。</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燃油适应性</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590（生物柴油含量最高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F-54，符合 EN 590 的柴油燃料等价物</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或 ASTM D 975 Grade 1, 2 -D S15 Arctic 柴油</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注意</w:t>
      </w:r>
      <w:r>
        <w:rPr>
          <w:color w:val="00274C"/>
          <w:sz w:val="20"/>
          <w:szCs w:val="20"/>
          <w:u w:val="none"/>
        </w:rPr>
        <w:t xml:space="preserve"> ： 保修时，客户必须出具燃料供应商提供的证明，证明使用了允许的燃料。</w:t>
      </w:r>
    </w:p>
    <w:p>
      <w:pPr>
        <w:widowControl w:val="on"/>
        <w:pBdr/>
        <w:spacing w:before="0" w:after="0" w:line="262" w:lineRule="auto"/>
        <w:ind w:left="0" w:right="0"/>
        <w:jc w:val="left"/>
      </w:pPr>
      <w:r>
        <w:rPr>
          <w:b/>
          <w:bCs/>
          <w:i/>
          <w:iCs/>
          <w:color w:val="00274C"/>
          <w:sz w:val="20"/>
          <w:szCs w:val="20"/>
          <w:u w:val="none"/>
        </w:rPr>
        <w:br/>
        <w:t xml:space="preserve">KDI 机械喷射 Tier 3 - Stage IIIA 认证发动机（带以及带/不带废气循环 (EGR)）</w:t>
      </w:r>
    </w:p>
    <w:p>
      <w:pPr>
        <w:numPr>
          <w:ilvl w:val="0"/>
          <w:numId w:val="10030"/>
        </w:numPr>
        <w:spacing w:before="0" w:after="0" w:line="240" w:lineRule="auto"/>
        <w:jc w:val="left"/>
        <w:rPr>
          <w:color w:val="00274C"/>
          <w:sz w:val="20"/>
          <w:szCs w:val="20"/>
        </w:rPr>
      </w:pPr>
      <w:r>
        <w:rPr>
          <w:color w:val="00274C"/>
          <w:sz w:val="20"/>
          <w:szCs w:val="20"/>
          <w:u w:val="none"/>
        </w:rPr>
        <w:t xml:space="preserve">此类发动机专为符合 EN 590 和 ASTM D975 的燃料而设计，十六烷值至少为 45。由于此类发动机没有配备尾气后处理系统，它们可以使用含硫量高达 500 mg/kg (ppm) 的柴油燃料运行。只有含硫量达到 15 mg/kg (ppm) 才能保证符合排放要求。</w:t>
      </w:r>
      <w:r>
        <w:rPr>
          <w:color w:val="00274C"/>
          <w:sz w:val="20"/>
          <w:szCs w:val="20"/>
          <w:u w:val="none"/>
        </w:rPr>
        <w:br/>
        <w:t xml:space="preserve">使用符合 EN 590 和 ASTM D975 且含硫量低于 15mg/kg 的燃料运行的发动机，换油间隔为 500 小时。含硫量高于 500 mg/kg 的燃料需要较短的润滑油更换间隔。该值被设置为 250 小时。然而，当将总碱值 (TBN) 下降到 6.0 mgkoh/g 测试方法 ASTM D4739 时，必须更换发动机油。对于含硫量较高的燃料，这可能发生在第 125 小时。请勿使用低硫酸盐灰分 (SAPS) 的燃油。</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机械喷射未认证发动机（无 EGR 发动机）</w:t>
      </w:r>
    </w:p>
    <w:p>
      <w:pPr>
        <w:numPr>
          <w:ilvl w:val="0"/>
          <w:numId w:val="10030"/>
        </w:numPr>
        <w:spacing w:before="0" w:after="0" w:line="240" w:lineRule="auto"/>
        <w:jc w:val="left"/>
        <w:rPr>
          <w:color w:val="00274C"/>
          <w:sz w:val="20"/>
          <w:szCs w:val="20"/>
        </w:rPr>
      </w:pPr>
      <w:r>
        <w:rPr>
          <w:color w:val="00274C"/>
          <w:sz w:val="20"/>
          <w:szCs w:val="20"/>
          <w:u w:val="none"/>
        </w:rPr>
        <w:t xml:space="preserve">此类发动机专为符合 EN 590 和 ASTM D975 的燃料而设计，十六烷值至少为 45。由于此类发动机没有配备尾气后处理系统，它们可以使用含硫量高达 2000 mg/kg (ppm) 的柴油燃料运行。</w:t>
      </w:r>
      <w:r>
        <w:rPr>
          <w:color w:val="00274C"/>
          <w:sz w:val="20"/>
          <w:szCs w:val="20"/>
          <w:u w:val="none"/>
        </w:rPr>
        <w:br/>
        <w:t xml:space="preserve">使用符合 EN 590 和 ASTM D975 且含硫量低于 15mg/kg 的燃料运行的发动机，换油间隔为 500 小时。含硫量高于 500 mg/kg 的燃料需要较短的润滑油更换间隔。该值被设置为 250 小时。然而，当将总碱值 (TBN) 下降到 6.0 mgkoh/g 测试方法 ASTM D4739 时，必须更换发动机油。</w:t>
      </w:r>
    </w:p>
    <w:p>
      <w:pPr>
        <w:widowControl w:val="on"/>
        <w:pBdr/>
        <w:spacing w:before="0" w:after="0" w:line="262" w:lineRule="auto"/>
        <w:ind w:left="0" w:right="0"/>
        <w:jc w:val="left"/>
      </w:pPr>
      <w:r>
        <w:rPr>
          <w:b/>
          <w:bCs/>
          <w:color w:val="00274C"/>
          <w:sz w:val="20"/>
          <w:szCs w:val="20"/>
          <w:u w:val="none"/>
        </w:rPr>
        <w:br/>
        <w:t xml:space="preserve">2.5.1</w:t>
      </w:r>
      <w:r>
        <w:rPr>
          <w:color w:val="00274C"/>
          <w:sz w:val="20"/>
          <w:szCs w:val="20"/>
          <w:u w:val="none"/>
        </w:rPr>
        <w:t xml:space="preserve"> </w:t>
      </w:r>
      <w:r>
        <w:rPr>
          <w:b/>
          <w:bCs/>
          <w:color w:val="00274C"/>
          <w:sz w:val="20"/>
          <w:szCs w:val="20"/>
          <w:u w:val="none"/>
        </w:rPr>
        <w:t xml:space="preserve">低温燃料</w:t>
      </w:r>
    </w:p>
    <w:p>
      <w:pPr>
        <w:numPr>
          <w:ilvl w:val="0"/>
          <w:numId w:val="10030"/>
        </w:numPr>
        <w:spacing w:before="0" w:after="0" w:line="240" w:lineRule="auto"/>
        <w:jc w:val="left"/>
        <w:rPr>
          <w:color w:val="00274C"/>
          <w:sz w:val="20"/>
          <w:szCs w:val="20"/>
        </w:rPr>
      </w:pPr>
      <w:r>
        <w:rPr>
          <w:color w:val="00274C"/>
          <w:sz w:val="20"/>
          <w:szCs w:val="20"/>
          <w:u w:val="none"/>
        </w:rPr>
        <w:t xml:space="preserve">在低于 0 摄氏度的环境温度下操作发动机时，请使用通常可以从燃料经销商处获得并且与标签的规格一致的适当低温燃料。2.3.</w:t>
      </w:r>
    </w:p>
    <w:p>
      <w:pPr>
        <w:numPr>
          <w:ilvl w:val="0"/>
          <w:numId w:val="10030"/>
        </w:numPr>
        <w:spacing w:before="0" w:after="0" w:line="240" w:lineRule="auto"/>
        <w:jc w:val="left"/>
        <w:rPr>
          <w:color w:val="00274C"/>
          <w:sz w:val="20"/>
          <w:szCs w:val="20"/>
        </w:rPr>
      </w:pPr>
      <w:r>
        <w:rPr>
          <w:color w:val="00274C"/>
          <w:sz w:val="20"/>
          <w:szCs w:val="20"/>
          <w:u w:val="none"/>
        </w:rPr>
        <w:t xml:space="preserve">这些燃料在低温下可以减少柴油中石蜡的形成。</w:t>
      </w:r>
    </w:p>
    <w:p>
      <w:pPr>
        <w:numPr>
          <w:ilvl w:val="0"/>
          <w:numId w:val="10030"/>
        </w:numPr>
        <w:spacing w:before="0" w:after="0" w:line="240" w:lineRule="auto"/>
        <w:jc w:val="left"/>
        <w:rPr>
          <w:color w:val="00274C"/>
          <w:sz w:val="20"/>
          <w:szCs w:val="20"/>
        </w:rPr>
      </w:pPr>
      <w:r>
        <w:rPr>
          <w:color w:val="00274C"/>
          <w:sz w:val="20"/>
          <w:szCs w:val="20"/>
          <w:u w:val="none"/>
        </w:rPr>
        <w:t xml:space="preserve">如果在柴油中形成石蜡，将堵塞燃料过滤器，从而阻碍燃料流通。</w:t>
      </w:r>
    </w:p>
    <w:p>
      <w:pPr>
        <w:widowControl w:val="on"/>
        <w:pBdr/>
        <w:spacing w:before="0" w:after="0" w:line="262" w:lineRule="auto"/>
        <w:ind w:left="0" w:right="0"/>
        <w:jc w:val="left"/>
      </w:pPr>
      <w:r>
        <w:rPr>
          <w:b/>
          <w:bCs/>
          <w:color w:val="00274C"/>
          <w:sz w:val="20"/>
          <w:szCs w:val="20"/>
          <w:u w:val="none"/>
        </w:rPr>
        <w:br/>
        <w:t xml:space="preserve">2.5.2</w:t>
      </w:r>
      <w:r>
        <w:rPr>
          <w:b/>
          <w:bCs/>
          <w:color w:val="00274C"/>
          <w:sz w:val="20"/>
          <w:szCs w:val="20"/>
          <w:u w:val="none"/>
        </w:rPr>
        <w:t xml:space="preserve"> 生物柴油燃料</w:t>
      </w:r>
    </w:p>
    <w:p>
      <w:pPr>
        <w:numPr>
          <w:ilvl w:val="0"/>
          <w:numId w:val="10030"/>
        </w:numPr>
        <w:spacing w:before="0" w:after="0" w:line="240" w:lineRule="auto"/>
        <w:jc w:val="left"/>
        <w:rPr>
          <w:color w:val="00274C"/>
          <w:sz w:val="20"/>
          <w:szCs w:val="20"/>
        </w:rPr>
      </w:pPr>
      <w:r>
        <w:rPr>
          <w:color w:val="00274C"/>
          <w:sz w:val="20"/>
          <w:szCs w:val="20"/>
          <w:u w:val="none"/>
        </w:rPr>
        <w:t xml:space="preserve">如果符合标签中所列的规格，那么含有 10% 甲酯或 B10 的燃料就适用于该发动机。2.3.</w:t>
      </w:r>
    </w:p>
    <w:p>
      <w:pPr>
        <w:numPr>
          <w:ilvl w:val="0"/>
          <w:numId w:val="10030"/>
        </w:numPr>
        <w:spacing w:before="0" w:after="0" w:line="240" w:lineRule="auto"/>
        <w:jc w:val="left"/>
        <w:rPr>
          <w:color w:val="00274C"/>
          <w:sz w:val="20"/>
          <w:szCs w:val="20"/>
        </w:rPr>
      </w:pPr>
      <w:r>
        <w:rPr>
          <w:color w:val="00274C"/>
          <w:sz w:val="20"/>
          <w:szCs w:val="20"/>
          <w:u w:val="none"/>
        </w:rPr>
        <w:t xml:space="preserve">请勿将植物油用作该发动机的生物燃料。</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生物柴油适应性</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符合 EN 14214 的生物柴油（最高只允许与柴油燃料的混合物达到 10% (V / 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符合 ASTM D6751 - 09a (B100) 的美国生物柴油（最高只允许与柴油燃料的混合物达到 10% (V / 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合成燃料：GTL、CTL、BTL、HV</w:t>
      </w:r>
      <w:r>
        <w:rPr>
          <w:color w:val="00274C"/>
          <w:sz w:val="20"/>
          <w:szCs w:val="20"/>
          <w:u w:val="none"/>
        </w:rPr>
        <w:br/>
        <w:t xml:space="preserve"> 众所周知，使用传统柴油燃料运行较长时间后换成合成燃料的发动机，在喷射系统中会发生聚合物密封件收缩，从而导致燃料泄漏。这种情况的原因是无芳烃合成燃料会导致聚合物密封件的出口行为发生改变。</w:t>
      </w:r>
      <w:r>
        <w:rPr>
          <w:color w:val="00274C"/>
          <w:sz w:val="20"/>
          <w:szCs w:val="20"/>
          <w:u w:val="none"/>
        </w:rPr>
        <w:br/>
        <w:t xml:space="preserve">因此，只能在更换关键密封件后进行从柴油燃料到合成燃料的转换。从一开始就使用合成材料的发动机不会出现收缩问题。</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非公路燃料</w:t>
      </w:r>
    </w:p>
    <w:p>
      <w:pPr>
        <w:widowControl w:val="on"/>
        <w:pBdr/>
        <w:spacing w:before="0" w:after="0" w:line="262" w:lineRule="auto"/>
        <w:ind w:left="0" w:right="0"/>
        <w:jc w:val="left"/>
      </w:pPr>
      <w:r>
        <w:rPr>
          <w:color w:val="00274C"/>
          <w:sz w:val="20"/>
          <w:szCs w:val="20"/>
          <w:u w:val="none"/>
        </w:rPr>
        <w:br/>
        <w:t xml:space="preserve">如果除燃料密度、十六烷值和含硫量外，均符合 EN 590 全部限值，那么可以使用其他非公路燃料。</w:t>
      </w:r>
      <w:r>
        <w:rPr>
          <w:color w:val="00274C"/>
          <w:sz w:val="20"/>
          <w:szCs w:val="20"/>
          <w:u w:val="none"/>
        </w:rPr>
        <w:br/>
        <w:t xml:space="preserve">以下限值适用于这些参数：</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燃料参数</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单位</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限值</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十六烷值</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最低49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15°C 下的燃料密度</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含硫量</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或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最高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喷气燃料</w:t>
      </w:r>
      <w:r>
        <w:rPr>
          <w:i/>
          <w:iCs/>
          <w:color w:val="00274C"/>
          <w:sz w:val="20"/>
          <w:szCs w:val="20"/>
          <w:u w:val="none"/>
        </w:rPr>
        <w:br/>
        <w:t xml:space="preserve">仅限 KDI 机械喷射未认证发动机（无 EGR 发动机）。</w:t>
      </w:r>
      <w:r>
        <w:rPr>
          <w:color w:val="00274C"/>
          <w:sz w:val="20"/>
          <w:szCs w:val="20"/>
          <w:u w:val="none"/>
        </w:rPr>
        <w:br/>
        <w:t xml:space="preserve">可使用以下喷气燃料，但只需额外采用带有润滑剂量仪的燃料过滤器：</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燃料</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F-34/F-35（北约指定煤油）</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JP-8（美国军队指定煤油）</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F-44（北约指定煤油）</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JP-5（美国军队指定煤油）</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F-63（北约指定煤油，相当于带添加剂的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A（民航用煤油）</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F-65（北约指定煤油，F-54 与 F-34/F-35 的 1:1 混合物）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A1（民航用煤油）</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排放相关安装说明</w:t>
      </w:r>
      <w:r>
        <w:rPr>
          <w:color w:val="00274C"/>
          <w:sz w:val="20"/>
          <w:szCs w:val="20"/>
          <w:u w:val="none"/>
        </w:rPr>
        <w:t xml:space="preserve"> 在非公路设备上安装认证发动机时，未能遵守应用指南中的说明，将违反联邦法律 (40 CFR 1068.105(b))，需接受清洁空气法中所述的罚款或其他处罚。</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原始设备制造商 (OEM) 必须在燃料入口附近张贴带有下列说明的独立标签：“仅限超低硫燃料”。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确保您正在安装经过适当认证适合您应用的发动机。恒速发动机只能安装在恒速设备上，以保持恒定的运行速度。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如果您安装发动机的方式致使在发动机正常维护期间难以读取发动机的排放控制信息标签，那么您必须在设备上放置一个重复标签，如 40 CFR 1068.105 所述。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冷却剂建议</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必须使用 50% 的软化水和 50% 低硅酸盐乙二醇基冷却液的混合物。 使用无硅酸盐、磷酸盐、硼酸盐、亚硝酸盐和胺类的长寿命或延长寿命的重型 OAT 冷却剂。</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KDI 发动机系列的所有型号均可使用下列乙二醇基发动机冷却剂: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030"/>
              </w:numPr>
              <w:spacing w:before="0" w:after="0" w:line="262" w:lineRule="auto"/>
              <w:jc w:val="left"/>
              <w:rPr>
                <w:color w:val="00274C"/>
                <w:sz w:val="20"/>
                <w:szCs w:val="20"/>
              </w:rPr>
            </w:pPr>
            <w:r>
              <w:rPr>
                <w:color w:val="00274C"/>
                <w:position w:val="-2"/>
                <w:sz w:val="20"/>
                <w:szCs w:val="20"/>
                <w:u w:val="none"/>
              </w:rPr>
              <w:t xml:space="preserve">OAT（有机酸技术）低硅酸盐: </w:t>
            </w:r>
            <w:r>
              <w:rPr>
                <w:b/>
                <w:bCs/>
                <w:color w:val="00274C"/>
                <w:position w:val="-2"/>
                <w:sz w:val="20"/>
                <w:szCs w:val="20"/>
                <w:u w:val="none"/>
              </w:rPr>
              <w:t xml:space="preserve">ASTM D-3306 D-6210</w:t>
            </w:r>
          </w:p>
          <w:p>
            <w:pPr>
              <w:numPr>
                <w:ilvl w:val="0"/>
                <w:numId w:val="10030"/>
              </w:numPr>
              <w:spacing w:before="0" w:after="0" w:line="262" w:lineRule="auto"/>
              <w:jc w:val="left"/>
              <w:rPr>
                <w:color w:val="00274C"/>
                <w:sz w:val="20"/>
                <w:szCs w:val="20"/>
              </w:rPr>
            </w:pPr>
            <w:r>
              <w:rPr>
                <w:color w:val="00274C"/>
                <w:position w:val="-2"/>
                <w:sz w:val="20"/>
                <w:szCs w:val="20"/>
                <w:u w:val="none"/>
              </w:rPr>
              <w:t xml:space="preserve">HOAT（混合有机酸技术）低硅酸盐: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以上浓缩配方的冷却剂必须与蒸馏水、去离子水或软化水混合。条件允许时，可直接使用预混合配方（40-60% 或 50%-50%）。</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8598722" name="name482967d63d1a166aa"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38367d63d1a166a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Importante</w:t>
            </w:r>
          </w:p>
          <w:p>
            <w:pPr>
              <w:numPr>
                <w:ilvl w:val="0"/>
                <w:numId w:val="10030"/>
              </w:numPr>
              <w:spacing w:before="0" w:after="0" w:line="262" w:lineRule="auto"/>
              <w:jc w:val="left"/>
              <w:rPr>
                <w:color w:val="00274C"/>
                <w:sz w:val="20"/>
                <w:szCs w:val="20"/>
              </w:rPr>
            </w:pPr>
            <w:r>
              <w:rPr>
                <w:color w:val="00274C"/>
                <w:position w:val="-2"/>
                <w:sz w:val="20"/>
                <w:szCs w:val="20"/>
                <w:u w:val="none"/>
              </w:rPr>
              <w:t xml:space="preserve">请勿混合乙二醇和丙二醇基冷却剂。请勿混合 OAT 和 HOAT 基冷却剂。如果被含有亚硝酸盐的冷却剂污染，OAT 的使用寿命会大大降低。</w:t>
            </w:r>
          </w:p>
          <w:p>
            <w:pPr>
              <w:numPr>
                <w:ilvl w:val="0"/>
                <w:numId w:val="10030"/>
              </w:numPr>
              <w:spacing w:before="0" w:after="0" w:line="262" w:lineRule="auto"/>
              <w:jc w:val="left"/>
              <w:rPr>
                <w:color w:val="00274C"/>
                <w:sz w:val="20"/>
                <w:szCs w:val="20"/>
              </w:rPr>
            </w:pPr>
            <w:r>
              <w:rPr>
                <w:color w:val="00274C"/>
                <w:position w:val="-2"/>
                <w:sz w:val="20"/>
                <w:szCs w:val="20"/>
                <w:u w:val="none"/>
              </w:rPr>
              <w:t xml:space="preserve">切勿使用汽车型冷却剂。此类冷却剂不含可保护重型柴油发动机的正确添加剂。</w:t>
            </w:r>
          </w:p>
          <w:p>
            <w:pPr>
              <w:widowControl w:val="on"/>
              <w:pBdr/>
              <w:spacing w:before="0" w:after="0" w:line="262" w:lineRule="auto"/>
              <w:ind w:left="0" w:right="0"/>
              <w:jc w:val="left"/>
              <w:textAlignment w:val="center"/>
            </w:pPr>
            <w:r>
              <w:rPr>
                <w:color w:val="00274C"/>
                <w:position w:val="-2"/>
                <w:sz w:val="20"/>
                <w:szCs w:val="20"/>
                <w:u w:val="none"/>
              </w:rPr>
              <w:t xml:space="preserve">如果使用相同类型的冷却剂加满冷却系统，OAT 冷却剂可免维护运行长达 6 年或 6000 小时。请勿将不同种类的冷却剂混合。每年用冷却剂试纸测试冷却剂的状况。</w:t>
            </w:r>
            <w:r>
              <w:rPr>
                <w:color w:val="00274C"/>
                <w:position w:val="-2"/>
                <w:sz w:val="20"/>
                <w:szCs w:val="20"/>
                <w:u w:val="none"/>
              </w:rPr>
              <w:br/>
              <w:t xml:space="preserve">HOAT 并不是完全免维护的，建议在第一次维护期间添加 SCA（补充冷却剂添加剂）</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zh</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zh</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zh</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zh</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0031">
    <w:multiLevelType w:val="hybridMultilevel"/>
    <w:lvl w:ilvl="0" w:tplc="82931095">
      <w:start w:val="1"/>
      <w:numFmt w:val="decimal"/>
      <w:lvlText w:val="%1."/>
      <w:lvlJc w:val="left"/>
      <w:pPr>
        <w:ind w:left="720" w:hanging="360"/>
      </w:pPr>
    </w:lvl>
    <w:lvl w:ilvl="1" w:tplc="82931095" w:tentative="1">
      <w:start w:val="1"/>
      <w:numFmt w:val="lowerLetter"/>
      <w:lvlText w:val="%2."/>
      <w:lvlJc w:val="left"/>
      <w:pPr>
        <w:ind w:left="1440" w:hanging="360"/>
      </w:pPr>
    </w:lvl>
    <w:lvl w:ilvl="2" w:tplc="82931095" w:tentative="1">
      <w:start w:val="1"/>
      <w:numFmt w:val="lowerRoman"/>
      <w:lvlText w:val="%3."/>
      <w:lvlJc w:val="right"/>
      <w:pPr>
        <w:ind w:left="2160" w:hanging="180"/>
      </w:pPr>
    </w:lvl>
    <w:lvl w:ilvl="3" w:tplc="82931095" w:tentative="1">
      <w:start w:val="1"/>
      <w:numFmt w:val="decimal"/>
      <w:lvlText w:val="%4."/>
      <w:lvlJc w:val="left"/>
      <w:pPr>
        <w:ind w:left="2880" w:hanging="360"/>
      </w:pPr>
    </w:lvl>
    <w:lvl w:ilvl="4" w:tplc="82931095" w:tentative="1">
      <w:start w:val="1"/>
      <w:numFmt w:val="lowerLetter"/>
      <w:lvlText w:val="%5."/>
      <w:lvlJc w:val="left"/>
      <w:pPr>
        <w:ind w:left="3600" w:hanging="360"/>
      </w:pPr>
    </w:lvl>
    <w:lvl w:ilvl="5" w:tplc="82931095" w:tentative="1">
      <w:start w:val="1"/>
      <w:numFmt w:val="lowerRoman"/>
      <w:lvlText w:val="%6."/>
      <w:lvlJc w:val="right"/>
      <w:pPr>
        <w:ind w:left="4320" w:hanging="180"/>
      </w:pPr>
    </w:lvl>
    <w:lvl w:ilvl="6" w:tplc="82931095" w:tentative="1">
      <w:start w:val="1"/>
      <w:numFmt w:val="decimal"/>
      <w:lvlText w:val="%7."/>
      <w:lvlJc w:val="left"/>
      <w:pPr>
        <w:ind w:left="5040" w:hanging="360"/>
      </w:pPr>
    </w:lvl>
    <w:lvl w:ilvl="7" w:tplc="82931095" w:tentative="1">
      <w:start w:val="1"/>
      <w:numFmt w:val="lowerLetter"/>
      <w:lvlText w:val="%8."/>
      <w:lvlJc w:val="left"/>
      <w:pPr>
        <w:ind w:left="5760" w:hanging="360"/>
      </w:pPr>
    </w:lvl>
    <w:lvl w:ilvl="8" w:tplc="82931095" w:tentative="1">
      <w:start w:val="1"/>
      <w:numFmt w:val="lowerRoman"/>
      <w:lvlText w:val="%9."/>
      <w:lvlJc w:val="right"/>
      <w:pPr>
        <w:ind w:left="6480" w:hanging="180"/>
      </w:pPr>
    </w:lvl>
  </w:abstractNum>
  <w:abstractNum w:abstractNumId="10030">
    <w:multiLevelType w:val="hybridMultilevel"/>
    <w:lvl w:ilvl="0" w:tplc="22493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030">
    <w:abstractNumId w:val="10030"/>
  </w:num>
  <w:num w:numId="10031">
    <w:abstractNumId w:val="100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27628751" Type="http://schemas.openxmlformats.org/officeDocument/2006/relationships/comments" Target="comments.xml"/><Relationship Id="rId429647221" Type="http://schemas.microsoft.com/office/2011/relationships/commentsExtended" Target="commentsExtended.xml"/><Relationship Id="rId63239829" Type="http://schemas.openxmlformats.org/officeDocument/2006/relationships/image" Target="media/imgrId63239829.jpg"/><Relationship Id="rId125767d63d19ec30b" Type="http://schemas.openxmlformats.org/officeDocument/2006/relationships/image" Target="media/imgrId125767d63d19ec30b.jpg"/><Relationship Id="rId677767d63d1a01351" Type="http://schemas.openxmlformats.org/officeDocument/2006/relationships/image" Target="media/imgrId677767d63d1a01351.jpg"/><Relationship Id="rId938367d63d1a166a6" Type="http://schemas.openxmlformats.org/officeDocument/2006/relationships/image" Target="media/imgrId938367d63d1a166a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3239829" Type="http://schemas.openxmlformats.org/officeDocument/2006/relationships/image" Target="media/imgrId6323982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