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3404 TCR-SCR (Rev. 10.3)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6174663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274750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4319476" w:name="ctxt"/>
    <w:bookmarkEnd w:id="94319476"/>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11874"/>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1874"/>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960660c8ac2274411" w:history="1">
        <w:r>
          <w:rPr>
            <w:rStyle w:val="DefaultParagraphFontPHPDOCX"/>
            <w:b/>
            <w:bCs/>
            <w:color w:val="0000FF"/>
            <w:sz w:val="20"/>
            <w:szCs w:val="20"/>
            <w:u w:val="none"/>
          </w:rPr>
          <w:t xml:space="preserve">Par. 1.4</w:t>
        </w:r>
      </w:hyperlink>
      <w:r>
        <w:rPr>
          <w:color w:val="00274C"/>
          <w:sz w:val="20"/>
          <w:szCs w:val="20"/>
          <w:u w:val="none"/>
        </w:rPr>
        <w:t xml:space="preserve"> e </w:t>
      </w:r>
      <w:hyperlink r:id="rId158460c8ac22744bd"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1874"/>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187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1874"/>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11874"/>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1874"/>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127260c8ac22753ca"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494660c8ac22755d9"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11874"/>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1874"/>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11874"/>
        </w:numPr>
        <w:spacing w:before="0" w:after="0" w:line="240" w:lineRule="auto"/>
        <w:jc w:val="left"/>
        <w:rPr>
          <w:color w:val="00274C"/>
          <w:sz w:val="20"/>
          <w:szCs w:val="20"/>
        </w:rPr>
      </w:pPr>
      <w:r>
        <w:rPr>
          <w:color w:val="00274C"/>
          <w:sz w:val="20"/>
          <w:szCs w:val="20"/>
          <w:u w:val="none"/>
        </w:rPr>
        <w:t xml:space="preserve">Altri riferimenti importanti sono evidenziati in </w:t>
      </w:r>
      <w:r>
        <w:rPr>
          <w:b/>
          <w:bCs/>
          <w:color w:val="00274C"/>
          <w:sz w:val="20"/>
          <w:szCs w:val="20"/>
          <w:u w:val="none"/>
        </w:rPr>
        <w:t xml:space="preserve">rosso</w:t>
      </w:r>
      <w:r>
        <w:rPr>
          <w:color w:val="00274C"/>
          <w:sz w:val="20"/>
          <w:szCs w:val="20"/>
          <w:u w:val="none"/>
        </w:rPr>
        <w:t xml:space="preserve"> .</w:t>
      </w:r>
    </w:p>
    <w:p>
      <w:pPr>
        <w:numPr>
          <w:ilvl w:val="0"/>
          <w:numId w:val="11874"/>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74892391" name="name280160c8ac22a5db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26560c8ac22a5dad"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11874"/>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1874"/>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11874"/>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433560c8ac22a6449"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di scarico</w:t>
      </w:r>
    </w:p>
    <w:p>
      <w:pPr>
        <w:widowControl w:val="on"/>
        <w:pBdr/>
        <w:spacing w:before="225" w:after="225" w:line="262" w:lineRule="auto"/>
        <w:ind w:left="0" w:right="0"/>
        <w:jc w:val="left"/>
        <w:textDirection w:val="lrTb"/>
      </w:pPr>
      <w:r>
        <w:drawing>
          <wp:inline distT="0" distB="0" distL="0" distR="0">
            <wp:extent cx="5544000" cy="3124800"/>
            <wp:effectExtent b="0" l="0" r="0" t="0"/>
            <wp:docPr id="62959149" name="name757860c8ac22c55a0"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732760c8ac22c5598"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785600"/>
            <wp:effectExtent b="0" l="0" r="0" t="0"/>
            <wp:docPr id="77040665" name="name131260c8ac22df0db" descr="Identificazione_targhett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IT.jpg"/>
                    <pic:cNvPicPr/>
                  </pic:nvPicPr>
                  <pic:blipFill>
                    <a:blip r:embed="rId203860c8ac22df0d3"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1.3.1 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63"/>
              </w:rPr>
              <w:drawing>
                <wp:inline distT="0" distB="0" distL="0" distR="0">
                  <wp:extent cx="5040000" cy="4586400"/>
                  <wp:effectExtent b="0" l="0" r="0" t="0"/>
                  <wp:docPr id="29097769" name="name540460c8ac2304b9b"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435160c8ac2304b96" cstate="print"/>
                          <a:stretch>
                            <a:fillRect/>
                          </a:stretch>
                        </pic:blipFill>
                        <pic:spPr>
                          <a:xfrm>
                            <a:off x="0" y="0"/>
                            <a:ext cx="5040000" cy="45864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1.3.2 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61"/>
              </w:rPr>
              <w:drawing>
                <wp:inline distT="0" distB="0" distL="0" distR="0">
                  <wp:extent cx="5040000" cy="4564800"/>
                  <wp:effectExtent b="0" l="0" r="0" t="0"/>
                  <wp:docPr id="28049745" name="name561960c8ac23241f0"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775960c8ac23241e8" cstate="print"/>
                          <a:stretch>
                            <a:fillRect/>
                          </a:stretch>
                        </pic:blipFill>
                        <pic:spPr>
                          <a:xfrm>
                            <a:off x="0" y="0"/>
                            <a:ext cx="5040000" cy="4564800"/>
                          </a:xfrm>
                          <a:prstGeom prst="rect">
                            <a:avLst/>
                          </a:prstGeom>
                          <a:ln w="0">
                            <a:noFill/>
                          </a:ln>
                        </pic:spPr>
                      </pic:pic>
                    </a:graphicData>
                  </a:graphic>
                </wp:inline>
              </w:drawing>
            </w:r>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1.3.3 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39"/>
              </w:rPr>
              <w:drawing>
                <wp:inline distT="0" distB="0" distL="0" distR="0">
                  <wp:extent cx="5040000" cy="4291200"/>
                  <wp:effectExtent b="0" l="0" r="0" t="0"/>
                  <wp:docPr id="7093915" name="name320460c8ac2343e04"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690260c8ac2343dfb"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Direction w:val="lrTb"/>
              <w:textAlignment w:val="center"/>
            </w:pP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ASPIRAZIONE</w:t>
      </w:r>
    </w:p>
    <w:p>
      <w:pPr>
        <w:widowControl w:val="on"/>
        <w:pBdr/>
        <w:spacing w:before="225" w:after="225" w:line="262" w:lineRule="auto"/>
        <w:ind w:left="0" w:right="0"/>
        <w:jc w:val="left"/>
        <w:textDirection w:val="lrTb"/>
      </w:pPr>
      <w:r>
        <w:drawing>
          <wp:inline distT="0" distB="0" distL="0" distR="0">
            <wp:extent cx="5544000" cy="3600000"/>
            <wp:effectExtent b="0" l="0" r="0" t="0"/>
            <wp:docPr id="57846895" name="name465960c8ac2361835"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325760c8ac236182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 si consiglia di avere questa pagina a vista durante le operazioni di smontaggio e montaggio.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0842378" name="name445060c8ac237363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65660c8ac2373633"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8389040" name="name112660c8ac238428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03260c8ac238428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7427412" name="name667460c8ac2395b9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85360c8ac2395b93"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2641705" name="name706160c8ac23a5f6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01960c8ac23a5f6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4a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Alberi equilibratori</w:t>
                  </w:r>
                </w:p>
              </w:tc>
            </w:tr>
          </w:tbl>
          <w:p/>
        </w:tc>
      </w:tr>
    </w:tbl>
    <w:p>
      <w:pPr>
        <w:widowControl w:val="on"/>
        <w:pBdr/>
        <w:spacing w:before="225" w:after="225" w:line="262" w:lineRule="auto"/>
        <w:ind w:left="0" w:right="0"/>
        <w:jc w:val="left"/>
        <w:textDirection w:val="lrTb"/>
      </w:pPr>
      <w:r>
        <w:rPr>
          <w:b/>
          <w:bCs/>
          <w:color w:val="00274C"/>
          <w:sz w:val="20"/>
          <w:szCs w:val="20"/>
          <w:u w:val="none"/>
        </w:rPr>
        <w:br/>
        <w:t xml:space="preserve">VISTA LATO VOLANO</w:t>
      </w:r>
      <w:r>
        <w:drawing>
          <wp:inline distT="0" distB="0" distL="0" distR="0">
            <wp:extent cx="5544000" cy="3794400"/>
            <wp:effectExtent b="0" l="0" r="0" t="0"/>
            <wp:docPr id="74371969" name="name628260c8ac23c02c5"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53360c8ac23c02c1"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225" w:after="225" w:line="262" w:lineRule="auto"/>
        <w:ind w:left="0" w:right="0"/>
        <w:jc w:val="left"/>
        <w:textDirection w:val="lrTb"/>
      </w:pPr>
      <w:r>
        <w:rPr>
          <w:b/>
          <w:bCs/>
          <w:color w:val="00274C"/>
          <w:sz w:val="20"/>
          <w:szCs w:val="20"/>
          <w:u w:val="none"/>
        </w:rPr>
        <w:t xml:space="preserve">VISTA LATO SERVIZI - ASPIRAZIONE</w:t>
      </w:r>
      <w:r>
        <w:drawing>
          <wp:inline distT="0" distB="0" distL="0" distR="0">
            <wp:extent cx="5544000" cy="3600000"/>
            <wp:effectExtent b="0" l="0" r="0" t="0"/>
            <wp:docPr id="18404984" name="name648960c8ac23e2c86"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120360c8ac23e2c80"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SCARICO</w:t>
      </w:r>
      <w:r>
        <w:drawing>
          <wp:inline distT="0" distB="0" distL="0" distR="0">
            <wp:extent cx="5544000" cy="3787200"/>
            <wp:effectExtent b="0" l="0" r="0" t="0"/>
            <wp:docPr id="779522" name="name872160c8ac240f63c"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57860c8ac240f63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270260c8ac240fcdc"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31875411" name="name207660c8ac24330ce"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14060c8ac24330c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Componenti SCR (circuito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VISTA LATO SERVIZI - ASPIRAZIONE</w:t>
            </w:r>
          </w:p>
          <w:p>
            <w:pPr>
              <w:widowControl w:val="on"/>
              <w:pBdr/>
              <w:spacing w:before="0" w:after="0" w:line="262" w:lineRule="auto"/>
              <w:ind w:left="0" w:right="0"/>
              <w:jc w:val="left"/>
              <w:textDirection w:val="lrTb"/>
              <w:textAlignment w:val="center"/>
            </w:pPr>
            <w:r>
              <w:rPr>
                <w:position w:val="-203"/>
              </w:rPr>
              <w:drawing>
                <wp:inline distT="0" distB="0" distL="0" distR="0">
                  <wp:extent cx="2880000" cy="2606400"/>
                  <wp:effectExtent b="0" l="0" r="0" t="0"/>
                  <wp:docPr id="89524300" name="name831960c8ac2447f24"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887760c8ac2447f1c"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vMerge w:val="restart"/>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Circuito per riscaldamento AdBlue </w:t>
                  </w:r>
                  <w:r>
                    <w:rPr>
                      <w:color w:val="00274C"/>
                      <w:position w:val="3"/>
                      <w:sz w:val="17"/>
                      <w:szCs w:val="17"/>
                      <w:u w:val="none"/>
                      <w:shd w:val="clear" w:color="auto" w:fill="E1E2E0"/>
                      <w:vertAlign w:val="superscript"/>
                      <w:vertAlign w:val="superscript"/>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AdBlue </w:t>
                  </w:r>
                  <w:r>
                    <w:rPr>
                      <w:color w:val="00274C"/>
                      <w:position w:val="3"/>
                      <w:sz w:val="17"/>
                      <w:szCs w:val="17"/>
                      <w:u w:val="none"/>
                      <w:shd w:val="clear" w:color="auto" w:fill="E1E2E0"/>
                      <w:vertAlign w:val="superscript"/>
                      <w:vertAlign w:val="superscript"/>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in serbatoio AdBlue </w:t>
                  </w:r>
                  <w:r>
                    <w:rPr>
                      <w:color w:val="00274C"/>
                      <w:position w:val="3"/>
                      <w:sz w:val="17"/>
                      <w:szCs w:val="17"/>
                      <w:u w:val="none"/>
                      <w:shd w:val="clear" w:color="auto" w:fill="E1E2E0"/>
                      <w:vertAlign w:val="superscript"/>
                      <w:vertAlign w:val="superscript"/>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all'iniettore AdBlue </w:t>
                  </w:r>
                  <w:r>
                    <w:rPr>
                      <w:color w:val="00274C"/>
                      <w:position w:val="3"/>
                      <w:sz w:val="17"/>
                      <w:szCs w:val="17"/>
                      <w:u w:val="none"/>
                      <w:shd w:val="clear" w:color="auto" w:fill="E1E2E0"/>
                      <w:vertAlign w:val="superscript"/>
                      <w:vertAlign w:val="superscript"/>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elettronica per mandata liquido refrigerante al serbatoio AdBlue </w:t>
                  </w:r>
                  <w:r>
                    <w:rPr>
                      <w:color w:val="00274C"/>
                      <w:position w:val="3"/>
                      <w:sz w:val="17"/>
                      <w:szCs w:val="17"/>
                      <w:u w:val="none"/>
                      <w:shd w:val="clear" w:color="auto" w:fill="E1E2E0"/>
                      <w:vertAlign w:val="superscript"/>
                      <w:vertAlign w:val="superscript"/>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al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del liquido refrigerante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del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del sistema SCR</w:t>
                  </w:r>
                </w:p>
              </w:tc>
            </w:tr>
          </w:tbl>
          <w:p/>
          <w:p>
            <w:pPr>
              <w:widowControl w:val="on"/>
              <w:pBdr/>
              <w:spacing w:before="0" w:after="0" w:line="262" w:lineRule="auto"/>
              <w:ind w:left="0" w:right="0"/>
              <w:jc w:val="right"/>
              <w:textDirection w:val="lrTb"/>
              <w:textAlignment w:val="top"/>
            </w:pPr>
            <w:r>
              <w:rPr>
                <w:b/>
                <w:bCs/>
                <w:color w:val="00274C"/>
                <w:position w:val="0"/>
                <w:sz w:val="20"/>
                <w:szCs w:val="20"/>
                <w:u w:val="none"/>
              </w:rPr>
              <w:t xml:space="preserve">1.6</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NOTA:</w:t>
            </w:r>
            <w:r>
              <w:rPr>
                <w:color w:val="00274C"/>
                <w:position w:val="0"/>
                <w:sz w:val="20"/>
                <w:szCs w:val="20"/>
                <w:u w:val="none"/>
              </w:rPr>
              <w:t xml:space="preserve"> Alcuni componenti hanno lo scopo puramente illustrativo, possono subire variazioni e potrebbero essere non fornite da </w:t>
            </w:r>
            <w:r>
              <w:rPr>
                <w:b/>
                <w:bCs/>
                <w:color w:val="00274C"/>
                <w:position w:val="0"/>
                <w:sz w:val="20"/>
                <w:szCs w:val="20"/>
                <w:u w:val="none"/>
              </w:rPr>
              <w:t xml:space="preserve">KOHLER</w:t>
            </w: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VISTA LATO VOLANO - SCARICO</w:t>
            </w:r>
          </w:p>
          <w:p>
            <w:pPr>
              <w:widowControl w:val="on"/>
              <w:pBdr/>
              <w:spacing w:before="0" w:after="0" w:line="262" w:lineRule="auto"/>
              <w:ind w:left="0" w:right="0"/>
              <w:jc w:val="left"/>
              <w:textDirection w:val="lrTb"/>
              <w:textAlignment w:val="center"/>
            </w:pPr>
            <w:r>
              <w:rPr>
                <w:position w:val="-208"/>
              </w:rPr>
              <w:drawing>
                <wp:inline distT="0" distB="0" distL="0" distR="0">
                  <wp:extent cx="2880000" cy="2664000"/>
                  <wp:effectExtent b="0" l="0" r="0" t="0"/>
                  <wp:docPr id="78087594" name="name489560c8ac2464443"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459260c8ac246443d"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c>
          <w:tcPr>
            <w:gridSpan w:val="1"/>
            <w:vMerge w:val="continue"/>
          </w:tcP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﻿Componenti SCR (circuito AdBlue®)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VISTA LATO VOLANO - SCARICO</w:t>
            </w:r>
          </w:p>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3111937" name="name993960c8ac247e1e5"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748160c8ac247e1de"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VISTA LATO VOLANO - ASPIRAZIONE</w:t>
            </w:r>
          </w:p>
          <w:p>
            <w:pPr>
              <w:widowControl w:val="on"/>
              <w:pBdr/>
              <w:spacing w:before="0" w:after="0" w:line="262" w:lineRule="auto"/>
              <w:ind w:left="0" w:right="0"/>
              <w:jc w:val="left"/>
              <w:textDirection w:val="lrTb"/>
              <w:textAlignment w:val="center"/>
            </w:pPr>
            <w:r>
              <w:rPr>
                <w:position w:val="-208"/>
              </w:rPr>
              <w:drawing>
                <wp:inline distT="0" distB="0" distL="0" distR="0">
                  <wp:extent cx="2880000" cy="2656800"/>
                  <wp:effectExtent b="0" l="0" r="0" t="0"/>
                  <wp:docPr id="44731412" name="name188260c8ac2491fc1"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789760c8ac2491fbd"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1.13</w:t>
            </w:r>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AdBlue </w:t>
                  </w:r>
                  <w:r>
                    <w:rPr>
                      <w:color w:val="00274C"/>
                      <w:position w:val="3"/>
                      <w:sz w:val="17"/>
                      <w:szCs w:val="17"/>
                      <w:u w:val="none"/>
                      <w:shd w:val="clear" w:color="auto" w:fill="E1E2E0"/>
                      <w:vertAlign w:val="superscript"/>
                      <w:vertAlign w:val="superscript"/>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AdBlue </w:t>
                  </w:r>
                  <w:r>
                    <w:rPr>
                      <w:color w:val="00274C"/>
                      <w:position w:val="3"/>
                      <w:sz w:val="17"/>
                      <w:szCs w:val="17"/>
                      <w:u w:val="none"/>
                      <w:shd w:val="clear" w:color="auto" w:fill="E1E2E0"/>
                      <w:vertAlign w:val="superscript"/>
                      <w:vertAlign w:val="superscript"/>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AdBlue </w:t>
                  </w:r>
                  <w:r>
                    <w:rPr>
                      <w:color w:val="00274C"/>
                      <w:position w:val="3"/>
                      <w:sz w:val="17"/>
                      <w:szCs w:val="17"/>
                      <w:u w:val="none"/>
                      <w:shd w:val="clear" w:color="auto" w:fill="E1E2E0"/>
                      <w:vertAlign w:val="superscript"/>
                      <w:vertAlign w:val="superscript"/>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AdBlue® all'iniettore AdBlue </w:t>
                  </w:r>
                  <w:r>
                    <w:rPr>
                      <w:color w:val="00274C"/>
                      <w:position w:val="3"/>
                      <w:sz w:val="17"/>
                      <w:szCs w:val="17"/>
                      <w:u w:val="none"/>
                      <w:shd w:val="clear" w:color="auto" w:fill="E1E2E0"/>
                      <w:vertAlign w:val="superscript"/>
                      <w:vertAlign w:val="superscript"/>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in serbatoio AdBlue </w:t>
                  </w:r>
                  <w:r>
                    <w:rPr>
                      <w:color w:val="00274C"/>
                      <w:position w:val="3"/>
                      <w:sz w:val="17"/>
                      <w:szCs w:val="17"/>
                      <w:u w:val="none"/>
                      <w:shd w:val="clear" w:color="auto" w:fill="E1E2E0"/>
                      <w:vertAlign w:val="superscript"/>
                      <w:vertAlign w:val="superscript"/>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AdBlue </w:t>
                  </w:r>
                  <w:r>
                    <w:rPr>
                      <w:color w:val="00274C"/>
                      <w:position w:val="3"/>
                      <w:sz w:val="17"/>
                      <w:szCs w:val="17"/>
                      <w:u w:val="none"/>
                      <w:shd w:val="clear" w:color="auto" w:fill="E1E2E0"/>
                      <w:vertAlign w:val="superscript"/>
                      <w:vertAlign w:val="superscript"/>
                    </w:rPr>
                    <w:t xml:space="preserve">®</w:t>
                  </w:r>
                </w:p>
              </w:tc>
            </w:tr>
          </w:tbl>
          <w:p/>
          <w:p>
            <w:pPr>
              <w:widowControl w:val="on"/>
              <w:pBdr/>
              <w:spacing w:before="0" w:after="0" w:line="262" w:lineRule="auto"/>
              <w:ind w:left="0" w:right="0"/>
              <w:jc w:val="right"/>
              <w:textDirection w:val="lrTb"/>
              <w:textAlignment w:val="top"/>
            </w:pPr>
            <w:r>
              <w:rPr>
                <w:b/>
                <w:bCs/>
                <w:color w:val="00274C"/>
                <w:position w:val="0"/>
                <w:sz w:val="20"/>
                <w:szCs w:val="20"/>
                <w:u w:val="none"/>
              </w:rPr>
              <w:t xml:space="preserve">Tab. 1.12</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NOTA</w:t>
            </w:r>
            <w:r>
              <w:rPr>
                <w:color w:val="00274C"/>
                <w:position w:val="0"/>
                <w:sz w:val="20"/>
                <w:szCs w:val="20"/>
                <w:u w:val="none"/>
              </w:rPr>
              <w:t xml:space="preserve"> :Alcuni componenti hanno lo scopo puramente illustrativo, possono subire variazioni e potrebbero essere non fornite da </w:t>
            </w:r>
            <w:r>
              <w:rPr>
                <w:b/>
                <w:bCs/>
                <w:color w:val="00274C"/>
                <w:position w:val="0"/>
                <w:sz w:val="20"/>
                <w:szCs w:val="20"/>
                <w:u w:val="none"/>
              </w:rPr>
              <w:t xml:space="preserve">KOHLER</w:t>
            </w:r>
            <w:r>
              <w:rPr>
                <w:color w:val="00274C"/>
                <w:position w:val="0"/>
                <w:sz w:val="20"/>
                <w:szCs w:val="20"/>
                <w:u w:val="none"/>
              </w:rPr>
              <w:t xml:space="preserve"> .</w:t>
            </w:r>
          </w:p>
          <w:p/>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Componenti SCR (circuito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VISTA LATO SERVIZI - ASPIRAZIONE</w:t>
            </w:r>
          </w:p>
          <w:p>
            <w:pPr>
              <w:widowControl w:val="on"/>
              <w:pBdr/>
              <w:spacing w:before="0" w:after="0" w:line="262" w:lineRule="auto"/>
              <w:ind w:left="0" w:right="0"/>
              <w:jc w:val="left"/>
              <w:textDirection w:val="lrTb"/>
              <w:textAlignment w:val="center"/>
            </w:pPr>
            <w:r>
              <w:rPr>
                <w:position w:val="-232"/>
              </w:rPr>
              <w:drawing>
                <wp:inline distT="0" distB="0" distL="0" distR="0">
                  <wp:extent cx="2880000" cy="2959200"/>
                  <wp:effectExtent b="0" l="0" r="0" t="0"/>
                  <wp:docPr id="91886128" name="name972460c8ac24aa44e"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919460c8ac24aa446"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1.14</w:t>
            </w:r>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verso il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 mandata gas di scarico verso l'SCR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Direction w:val="lrTb"/>
              <w:textAlignment w:val="top"/>
            </w:pPr>
            <w:r>
              <w:rPr>
                <w:b/>
                <w:bCs/>
                <w:color w:val="00274C"/>
                <w:position w:val="0"/>
                <w:sz w:val="20"/>
                <w:szCs w:val="20"/>
                <w:u w:val="none"/>
              </w:rPr>
              <w:t xml:space="preserve"> Tab. 1.8</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NOTA</w:t>
            </w:r>
            <w:r>
              <w:rPr>
                <w:color w:val="00274C"/>
                <w:position w:val="0"/>
                <w:sz w:val="20"/>
                <w:szCs w:val="20"/>
                <w:u w:val="none"/>
              </w:rPr>
              <w:t xml:space="preserve"> : Alcuni componenti hanno lo scopo puramente illustrativo, possono subire variazioni e potrebbero essere non fornite da </w:t>
            </w:r>
            <w:r>
              <w:rPr>
                <w:b/>
                <w:bCs/>
                <w:color w:val="00274C"/>
                <w:position w:val="0"/>
                <w:sz w:val="20"/>
                <w:szCs w:val="20"/>
                <w:u w:val="none"/>
              </w:rPr>
              <w:t xml:space="preserve">KOHLER</w:t>
            </w:r>
            <w:r>
              <w:rPr>
                <w:color w:val="00274C"/>
                <w:position w:val="0"/>
                <w:sz w:val="20"/>
                <w:szCs w:val="20"/>
                <w:u w:val="none"/>
              </w:rPr>
              <w:t xml:space="preserve"> .</w:t>
            </w:r>
          </w:p>
          <w:p/>
          <w:p/>
          <w:p/>
          <w:p/>
          <w:p/>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VISTA LATO SERVIZI - SCARICO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300"/>
              </w:rPr>
              <w:drawing>
                <wp:inline distT="0" distB="0" distL="0" distR="0">
                  <wp:extent cx="5544000" cy="3808800"/>
                  <wp:effectExtent b="0" l="0" r="0" t="0"/>
                  <wp:docPr id="15227062" name="name244360c8ac24c7180"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236660c8ac24c717a"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 1.15</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875">
    <w:multiLevelType w:val="hybridMultilevel"/>
    <w:lvl w:ilvl="0" w:tplc="17788888">
      <w:start w:val="1"/>
      <w:numFmt w:val="decimal"/>
      <w:lvlText w:val="%1."/>
      <w:lvlJc w:val="left"/>
      <w:pPr>
        <w:ind w:left="720" w:hanging="360"/>
      </w:pPr>
    </w:lvl>
    <w:lvl w:ilvl="1" w:tplc="17788888" w:tentative="1">
      <w:start w:val="1"/>
      <w:numFmt w:val="lowerLetter"/>
      <w:lvlText w:val="%2."/>
      <w:lvlJc w:val="left"/>
      <w:pPr>
        <w:ind w:left="1440" w:hanging="360"/>
      </w:pPr>
    </w:lvl>
    <w:lvl w:ilvl="2" w:tplc="17788888" w:tentative="1">
      <w:start w:val="1"/>
      <w:numFmt w:val="lowerRoman"/>
      <w:lvlText w:val="%3."/>
      <w:lvlJc w:val="right"/>
      <w:pPr>
        <w:ind w:left="2160" w:hanging="180"/>
      </w:pPr>
    </w:lvl>
    <w:lvl w:ilvl="3" w:tplc="17788888" w:tentative="1">
      <w:start w:val="1"/>
      <w:numFmt w:val="decimal"/>
      <w:lvlText w:val="%4."/>
      <w:lvlJc w:val="left"/>
      <w:pPr>
        <w:ind w:left="2880" w:hanging="360"/>
      </w:pPr>
    </w:lvl>
    <w:lvl w:ilvl="4" w:tplc="17788888" w:tentative="1">
      <w:start w:val="1"/>
      <w:numFmt w:val="lowerLetter"/>
      <w:lvlText w:val="%5."/>
      <w:lvlJc w:val="left"/>
      <w:pPr>
        <w:ind w:left="3600" w:hanging="360"/>
      </w:pPr>
    </w:lvl>
    <w:lvl w:ilvl="5" w:tplc="17788888" w:tentative="1">
      <w:start w:val="1"/>
      <w:numFmt w:val="lowerRoman"/>
      <w:lvlText w:val="%6."/>
      <w:lvlJc w:val="right"/>
      <w:pPr>
        <w:ind w:left="4320" w:hanging="180"/>
      </w:pPr>
    </w:lvl>
    <w:lvl w:ilvl="6" w:tplc="17788888" w:tentative="1">
      <w:start w:val="1"/>
      <w:numFmt w:val="decimal"/>
      <w:lvlText w:val="%7."/>
      <w:lvlJc w:val="left"/>
      <w:pPr>
        <w:ind w:left="5040" w:hanging="360"/>
      </w:pPr>
    </w:lvl>
    <w:lvl w:ilvl="7" w:tplc="17788888" w:tentative="1">
      <w:start w:val="1"/>
      <w:numFmt w:val="lowerLetter"/>
      <w:lvlText w:val="%8."/>
      <w:lvlJc w:val="left"/>
      <w:pPr>
        <w:ind w:left="5760" w:hanging="360"/>
      </w:pPr>
    </w:lvl>
    <w:lvl w:ilvl="8" w:tplc="17788888" w:tentative="1">
      <w:start w:val="1"/>
      <w:numFmt w:val="lowerRoman"/>
      <w:lvlText w:val="%9."/>
      <w:lvlJc w:val="right"/>
      <w:pPr>
        <w:ind w:left="6480" w:hanging="180"/>
      </w:pPr>
    </w:lvl>
  </w:abstractNum>
  <w:abstractNum w:abstractNumId="11874">
    <w:multiLevelType w:val="hybridMultilevel"/>
    <w:lvl w:ilvl="0" w:tplc="9285626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1874">
    <w:abstractNumId w:val="11874"/>
  </w:num>
  <w:num w:numId="11875">
    <w:abstractNumId w:val="118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31734170" Type="http://schemas.openxmlformats.org/officeDocument/2006/relationships/comments" Target="comments.xml"/><Relationship Id="rId786670063" Type="http://schemas.microsoft.com/office/2011/relationships/commentsExtended" Target="commentsExtended.xml"/><Relationship Id="rId92747509" Type="http://schemas.openxmlformats.org/officeDocument/2006/relationships/image" Target="media/imgrId92747509.jpg"/><Relationship Id="rId960660c8ac2274411" Type="http://schemas.openxmlformats.org/officeDocument/2006/relationships/hyperlink" Target="https://iservice.lombardini.it/jsp/Template2/manuale.jsp?id=547&amp;parent=1273" TargetMode="External"/><Relationship Id="rId158460c8ac22744bd" Type="http://schemas.openxmlformats.org/officeDocument/2006/relationships/hyperlink" Target="https://iservice.lombardini.it/jsp/Template2/manuale.jsp?id=548&amp;parent=1273" TargetMode="External"/><Relationship Id="rId127260c8ac22753ca" Type="http://schemas.openxmlformats.org/officeDocument/2006/relationships/hyperlink" Target="https://iservice.lombardini.it/jsp/Template2/manuale.jsp?id=193&amp;parent=1273" TargetMode="External"/><Relationship Id="rId494660c8ac22755d9" Type="http://schemas.openxmlformats.org/officeDocument/2006/relationships/hyperlink" Target="https://iservice.lombardini.it/jsp/Template2/manuale.jsp?id=193&amp;parent=1273" TargetMode="External"/><Relationship Id="rId433560c8ac22a6449" Type="http://schemas.openxmlformats.org/officeDocument/2006/relationships/hyperlink" Target="https://iservice.lombardini.it/jsp/Template2/manuale.jsp?id=114&amp;parent=1273" TargetMode="External"/><Relationship Id="rId270260c8ac240fcdc" Type="http://schemas.openxmlformats.org/officeDocument/2006/relationships/hyperlink" Target="https://iservice.lombardini.it/jsp/Template2/manuale.jsp?id=624&amp;parent=1273" TargetMode="External"/><Relationship Id="rId626560c8ac22a5dad" Type="http://schemas.openxmlformats.org/officeDocument/2006/relationships/image" Target="media/imgrId626560c8ac22a5dad.gif"/><Relationship Id="rId732760c8ac22c5598" Type="http://schemas.openxmlformats.org/officeDocument/2006/relationships/image" Target="media/imgrId732760c8ac22c5598.png"/><Relationship Id="rId203860c8ac22df0d3" Type="http://schemas.openxmlformats.org/officeDocument/2006/relationships/image" Target="media/imgrId203860c8ac22df0d3.jpg"/><Relationship Id="rId435160c8ac2304b96" Type="http://schemas.openxmlformats.org/officeDocument/2006/relationships/image" Target="media/imgrId435160c8ac2304b96.jpg"/><Relationship Id="rId775960c8ac23241e8" Type="http://schemas.openxmlformats.org/officeDocument/2006/relationships/image" Target="media/imgrId775960c8ac23241e8.jpg"/><Relationship Id="rId690260c8ac2343dfb" Type="http://schemas.openxmlformats.org/officeDocument/2006/relationships/image" Target="media/imgrId690260c8ac2343dfb.jpg"/><Relationship Id="rId325760c8ac236182f" Type="http://schemas.openxmlformats.org/officeDocument/2006/relationships/image" Target="media/imgrId325760c8ac236182f.png"/><Relationship Id="rId265660c8ac2373633" Type="http://schemas.openxmlformats.org/officeDocument/2006/relationships/image" Target="media/imgrId265660c8ac2373633.gif"/><Relationship Id="rId703260c8ac2384282" Type="http://schemas.openxmlformats.org/officeDocument/2006/relationships/image" Target="media/imgrId703260c8ac2384282.gif"/><Relationship Id="rId385360c8ac2395b93" Type="http://schemas.openxmlformats.org/officeDocument/2006/relationships/image" Target="media/imgrId385360c8ac2395b93.gif"/><Relationship Id="rId301960c8ac23a5f62" Type="http://schemas.openxmlformats.org/officeDocument/2006/relationships/image" Target="media/imgrId301960c8ac23a5f62.gif"/><Relationship Id="rId253360c8ac23c02c1" Type="http://schemas.openxmlformats.org/officeDocument/2006/relationships/image" Target="media/imgrId253360c8ac23c02c1.png"/><Relationship Id="rId120360c8ac23e2c80" Type="http://schemas.openxmlformats.org/officeDocument/2006/relationships/image" Target="media/imgrId120360c8ac23e2c80.png"/><Relationship Id="rId357860c8ac240f634" Type="http://schemas.openxmlformats.org/officeDocument/2006/relationships/image" Target="media/imgrId357860c8ac240f634.png"/><Relationship Id="rId614060c8ac24330c9" Type="http://schemas.openxmlformats.org/officeDocument/2006/relationships/image" Target="media/imgrId614060c8ac24330c9.png"/><Relationship Id="rId887760c8ac2447f1c" Type="http://schemas.openxmlformats.org/officeDocument/2006/relationships/image" Target="media/imgrId887760c8ac2447f1c.jpg"/><Relationship Id="rId459260c8ac246443d" Type="http://schemas.openxmlformats.org/officeDocument/2006/relationships/image" Target="media/imgrId459260c8ac246443d.jpg"/><Relationship Id="rId748160c8ac247e1de" Type="http://schemas.openxmlformats.org/officeDocument/2006/relationships/image" Target="media/imgrId748160c8ac247e1de.jpg"/><Relationship Id="rId789760c8ac2491fbd" Type="http://schemas.openxmlformats.org/officeDocument/2006/relationships/image" Target="media/imgrId789760c8ac2491fbd.jpg"/><Relationship Id="rId919460c8ac24aa446" Type="http://schemas.openxmlformats.org/officeDocument/2006/relationships/image" Target="media/imgrId919460c8ac24aa446.jpg"/><Relationship Id="rId236660c8ac24c717a" Type="http://schemas.openxmlformats.org/officeDocument/2006/relationships/image" Target="media/imgrId236660c8ac24c717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2747509" Type="http://schemas.openxmlformats.org/officeDocument/2006/relationships/image" Target="media/imgrId9274750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2747509" Type="http://schemas.openxmlformats.org/officeDocument/2006/relationships/image" Target="media/imgrId9274750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2747509" Type="http://schemas.openxmlformats.org/officeDocument/2006/relationships/image" Target="media/imgrId9274750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2747509" Type="http://schemas.openxmlformats.org/officeDocument/2006/relationships/image" Target="media/imgrId9274750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2747509" Type="http://schemas.openxmlformats.org/officeDocument/2006/relationships/image" Target="media/imgrId9274750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2747509" Type="http://schemas.openxmlformats.org/officeDocument/2006/relationships/image" Target="media/imgrId9274750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