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058198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5964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749826" w:name="ctxt"/>
    <w:bookmarkEnd w:id="58749826"/>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soupapes par cylindre avec poussoirs hydrauliques;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Turbocompresseur avec soupape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directe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50683769" name="name6075680f7ffb55bb7"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5039680f7ffb55bb3"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67403145" name="name8235680f7ffbbb793"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2776680f7ffbbb78f" cstate="print"/>
                          <a:stretch>
                            <a:fillRect/>
                          </a:stretch>
                        </pic:blipFill>
                        <pic:spPr>
                          <a:xfrm>
                            <a:off x="0" y="0"/>
                            <a:ext cx="1015200" cy="820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avec dispositif équilibreur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225" w:after="225" w:line="262" w:lineRule="auto"/>
        <w:ind w:left="0" w:right="0"/>
        <w:jc w:val="left"/>
      </w:pPr>
      <w:r>
        <w:drawing>
          <wp:inline distT="0" distB="0" distL="0" distR="0">
            <wp:extent cx="4752000" cy="2865600"/>
            <wp:effectExtent b="0" l="0" r="0" t="0"/>
            <wp:docPr id="81095923" name="name9255680f7ffbcffa6"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8129680f7ffbcffa2"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389520" name="name8505680f7ffbd66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06680f7ffbd665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97"/>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097"/>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097"/>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097"/>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097"/>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173395" name="name7637680f7ffbdc4e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61680f7ffbdc4e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97"/>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097"/>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097"/>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097"/>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097"/>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097"/>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097"/>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097"/>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7952240" name="name8877680f7ffbeaab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620680f7ffbeaaa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97"/>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097"/>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5587506" name="name2114680f7ffbf136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673680f7ffbf136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2097"/>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2097"/>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2097"/>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pas de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dans les régions connues pour la mauvaise qualité du lubrifiant du gasoil ou si le moteur est utilisé avec des carburéacteurs, le filtre primaire doit être capable de doser le lubrifiant. Contactez Kohler pour plus d'informations sur le filtre approuvé à cet effet.</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La puissance et le couple peuvent être inférieurs de 1 à 5 % en raison de la faible densité du carburant par rapport au gasoil standard.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F-54 selon la dénomination militaire OTAN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9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(kérosène, dénomination OTAN)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Fonctionnement avec carburéacteurs</w:t>
                  </w:r>
                </w:p>
                <w:p/>
                <w:p/>
                <w:p>
                  <w:pPr>
                    <w:widowControl w:val="on"/>
                    <w:pBdr/>
                    <w:spacing w:before="0" w:after="0" w:line="262" w:lineRule="auto"/>
                    <w:ind w:left="0" w:right="0"/>
                    <w:jc w:val="left"/>
                    <w:textAlignment w:val="center"/>
                  </w:pPr>
                  <w:r>
                    <w:rPr>
                      <w:color w:val="00274C"/>
                      <w:position w:val="-2"/>
                      <w:sz w:val="20"/>
                      <w:szCs w:val="20"/>
                      <w:u w:val="none"/>
                    </w:rPr>
                    <w:t xml:space="preserve">Les carburéacteurs peuvent être utilisés mais uniquement en adoptant un filtre carburant supplémentaire avec doseur de lubrifiant.</w:t>
                  </w:r>
                </w:p>
                <w:p>
                  <w:pPr>
                    <w:widowControl w:val="on"/>
                    <w:pBdr/>
                    <w:spacing w:before="0" w:after="0" w:line="262" w:lineRule="auto"/>
                    <w:ind w:left="0" w:right="0"/>
                    <w:jc w:val="left"/>
                    <w:textAlignment w:val="center"/>
                  </w:pPr>
                  <w:r>
                    <w:rPr>
                      <w:color w:val="00274C"/>
                      <w:position w:val="-2"/>
                      <w:sz w:val="20"/>
                      <w:szCs w:val="20"/>
                      <w:u w:val="none"/>
                    </w:rPr>
                    <w:t xml:space="preserve">En raison d'une densité plus faible et d'une perte de carburant plus importante dues à une viscosité plus faible, selon le régime et le couple du moteur, une perte de puissance jusqu'à 10 % est possible.</w:t>
                  </w:r>
                </w:p>
                <w:p>
                  <w:pPr>
                    <w:widowControl w:val="on"/>
                    <w:pBdr/>
                    <w:spacing w:before="0" w:after="0" w:line="262" w:lineRule="auto"/>
                    <w:ind w:left="0" w:right="0"/>
                    <w:jc w:val="left"/>
                    <w:textAlignment w:val="center"/>
                  </w:pPr>
                  <w:r>
                    <w:rPr>
                      <w:color w:val="00274C"/>
                      <w:position w:val="-2"/>
                      <w:sz w:val="20"/>
                      <w:szCs w:val="20"/>
                      <w:u w:val="none"/>
                    </w:rPr>
                    <w:t xml:space="preserve">Parmi les carburéacteurs répertoriés, certains présentent des propriétés problématiques (viscosité, pouvoir lubrifiant et faible point d'ébullition). Il faut s'attendre à une légère augmentation de l'usure du système d'injection, qui peut conduire à une réduction statistique de la durée de vie de ces composants. La teneur en soufre doit être inférieure à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(kérosène, dénomination OTAN)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(kérosène, dénomination OTAN, équivalent au F-34/F-35 avec additifs)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(kérosène pour l'aviation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(kérosène pour l'aviation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ADDITIFS POUR CARBURANT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97"/>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097"/>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840674" name="name8801680f7ffc10d2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236680f7ffc10d2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97"/>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097"/>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Tableau de commande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Dans le </w:t>
            </w:r>
            <w:r>
              <w:rPr>
                <w:b/>
                <w:bCs/>
                <w:color w:val="00274C"/>
                <w:position w:val="-2"/>
                <w:sz w:val="20"/>
                <w:szCs w:val="20"/>
                <w:u w:val="none"/>
              </w:rPr>
              <w:t xml:space="preserve">Tab. 2.8</w:t>
            </w:r>
            <w:r>
              <w:rPr>
                <w:color w:val="00274C"/>
                <w:position w:val="-2"/>
                <w:sz w:val="20"/>
                <w:szCs w:val="20"/>
                <w:u w:val="none"/>
              </w:rPr>
              <w:t xml:space="preserve">  sont indiqués les composants du tableau de commande.
</w:t>
            </w:r>
          </w:p>
          <w:p>
            <w:pPr>
              <w:widowControl w:val="on"/>
              <w:pBdr/>
              <w:spacing w:before="0" w:after="0" w:line="262" w:lineRule="auto"/>
              <w:ind w:left="0" w:right="0"/>
              <w:jc w:val="left"/>
              <w:textAlignment w:val="center"/>
            </w:pPr>
            <w:r>
              <w:rPr>
                <w:b/>
                <w:bCs/>
                <w:color w:val="00274C"/>
                <w:position w:val="-2"/>
                <w:sz w:val="20"/>
                <w:szCs w:val="20"/>
                <w:u w:val="none"/>
              </w:rPr>
              <w:b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d'allumage du tableau et moteur avec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Écran pour consultation des données ou des erreurs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sélection ou saisie des données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d'état de fonctionnement du moteur (verte = aucun problème rencontré)</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53382172" name="name7190680f7ffc1fcde"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1478680f7ffc1fcda"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si la LED </w:t>
            </w:r>
            <w:r>
              <w:rPr>
                <w:b/>
                <w:bCs/>
                <w:color w:val="00274C"/>
                <w:position w:val="-2"/>
                <w:sz w:val="20"/>
                <w:szCs w:val="20"/>
                <w:u w:val="none"/>
              </w:rPr>
              <w:t xml:space="preserve">F</w:t>
            </w:r>
            <w:r>
              <w:rPr>
                <w:color w:val="00274C"/>
                <w:position w:val="-2"/>
                <w:sz w:val="20"/>
                <w:szCs w:val="20"/>
                <w:u w:val="none"/>
              </w:rPr>
              <w:t xml:space="preserve"> est allumée en rouge, consulter les ateliers autorisés </w:t>
            </w:r>
            <w:r>
              <w:rPr>
                <w:b/>
                <w:bCs/>
                <w:color w:val="00274C"/>
                <w:position w:val="-2"/>
                <w:sz w:val="20"/>
                <w:szCs w:val="20"/>
                <w:u w:val="none"/>
              </w:rPr>
              <w:t xml:space="preserve">KOHLER</w:t>
            </w:r>
            <w:r>
              <w:rPr>
                <w:color w:val="00274C"/>
                <w:position w:val="-2"/>
                <w:sz w:val="20"/>
                <w:szCs w:val="20"/>
                <w:u w:val="none"/>
              </w:rPr>
              <w:t xml:space="preserve"> pour connaître le type de problème. Pour certains problèmes, l'arrêt automatique du moteur se déclenche.</w:t>
            </w:r>
          </w:p>
          <w:p/>
          <w:p/>
          <w:p>
            <w:pPr>
              <w:widowControl w:val="on"/>
              <w:pBdr/>
              <w:spacing w:before="0" w:after="0" w:line="262" w:lineRule="auto"/>
              <w:ind w:left="0" w:right="0"/>
              <w:jc w:val="left"/>
              <w:textAlignment w:val="center"/>
            </w:pPr>
            <w:r>
              <w:rPr>
                <w:color w:val="00274C"/>
                <w:position w:val="-2"/>
                <w:sz w:val="20"/>
                <w:szCs w:val="20"/>
                <w:u w:val="none"/>
              </w:rPr>
              <w:t xml:space="preserve">Le </w:t>
            </w:r>
            <w:r>
              <w:rPr>
                <w:b/>
                <w:bCs/>
                <w:color w:val="00274C"/>
                <w:position w:val="-2"/>
                <w:sz w:val="20"/>
                <w:szCs w:val="20"/>
                <w:u w:val="none"/>
              </w:rPr>
              <w:t xml:space="preserve">Tab. 2.9</w:t>
            </w:r>
            <w:r>
              <w:rPr>
                <w:color w:val="00274C"/>
                <w:position w:val="-2"/>
                <w:sz w:val="20"/>
                <w:szCs w:val="20"/>
                <w:u w:val="none"/>
              </w:rPr>
              <w:t xml:space="preserve">  indique les données qu'il est possible de consulter à l'écran </w:t>
            </w:r>
            <w:r>
              <w:rPr>
                <w:b/>
                <w:bCs/>
                <w:color w:val="00274C"/>
                <w:position w:val="-2"/>
                <w:sz w:val="20"/>
                <w:szCs w:val="20"/>
                <w:u w:val="none"/>
              </w:rPr>
              <w:t xml:space="preserve">B</w:t>
            </w:r>
            <w:r>
              <w:rPr>
                <w:color w:val="00274C"/>
                <w:position w:val="-2"/>
                <w:sz w:val="20"/>
                <w:szCs w:val="20"/>
                <w:u w:val="none"/>
              </w:rPr>
              <w:t xml:space="preserve"> en appuyant sur les boutons </w:t>
            </w:r>
            <w:r>
              <w:rPr>
                <w:b/>
                <w:bCs/>
                <w:color w:val="00274C"/>
                <w:position w:val="-2"/>
                <w:sz w:val="20"/>
                <w:szCs w:val="20"/>
                <w:u w:val="none"/>
              </w:rPr>
              <w:t xml:space="preserve">C</w:t>
            </w:r>
            <w:r>
              <w:rPr>
                <w:color w:val="00274C"/>
                <w:position w:val="-2"/>
                <w:sz w:val="20"/>
                <w:szCs w:val="20"/>
                <w:u w:val="none"/>
              </w:rPr>
              <w:t xml:space="preserve"> ou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les données décrites dans le </w:t>
            </w:r>
            <w:r>
              <w:rPr>
                <w:b/>
                <w:bCs/>
                <w:color w:val="00274C"/>
                <w:position w:val="-2"/>
                <w:sz w:val="20"/>
                <w:szCs w:val="20"/>
                <w:u w:val="none"/>
              </w:rPr>
              <w:t xml:space="preserve">Tab. 2.9</w:t>
            </w:r>
            <w:r>
              <w:rPr>
                <w:color w:val="00274C"/>
                <w:position w:val="-2"/>
                <w:sz w:val="20"/>
                <w:szCs w:val="20"/>
                <w:u w:val="none"/>
              </w:rPr>
              <w:t xml:space="preserve">  peuvent être différentes; dans ce cas,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restantes jusqu'à l'entretien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huile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utilisé @ rpm (% d'utilisation)</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98">
    <w:multiLevelType w:val="hybridMultilevel"/>
    <w:lvl w:ilvl="0" w:tplc="73535293">
      <w:start w:val="1"/>
      <w:numFmt w:val="decimal"/>
      <w:lvlText w:val="%1."/>
      <w:lvlJc w:val="left"/>
      <w:pPr>
        <w:ind w:left="720" w:hanging="360"/>
      </w:pPr>
    </w:lvl>
    <w:lvl w:ilvl="1" w:tplc="73535293" w:tentative="1">
      <w:start w:val="1"/>
      <w:numFmt w:val="lowerLetter"/>
      <w:lvlText w:val="%2."/>
      <w:lvlJc w:val="left"/>
      <w:pPr>
        <w:ind w:left="1440" w:hanging="360"/>
      </w:pPr>
    </w:lvl>
    <w:lvl w:ilvl="2" w:tplc="73535293" w:tentative="1">
      <w:start w:val="1"/>
      <w:numFmt w:val="lowerRoman"/>
      <w:lvlText w:val="%3."/>
      <w:lvlJc w:val="right"/>
      <w:pPr>
        <w:ind w:left="2160" w:hanging="180"/>
      </w:pPr>
    </w:lvl>
    <w:lvl w:ilvl="3" w:tplc="73535293" w:tentative="1">
      <w:start w:val="1"/>
      <w:numFmt w:val="decimal"/>
      <w:lvlText w:val="%4."/>
      <w:lvlJc w:val="left"/>
      <w:pPr>
        <w:ind w:left="2880" w:hanging="360"/>
      </w:pPr>
    </w:lvl>
    <w:lvl w:ilvl="4" w:tplc="73535293" w:tentative="1">
      <w:start w:val="1"/>
      <w:numFmt w:val="lowerLetter"/>
      <w:lvlText w:val="%5."/>
      <w:lvlJc w:val="left"/>
      <w:pPr>
        <w:ind w:left="3600" w:hanging="360"/>
      </w:pPr>
    </w:lvl>
    <w:lvl w:ilvl="5" w:tplc="73535293" w:tentative="1">
      <w:start w:val="1"/>
      <w:numFmt w:val="lowerRoman"/>
      <w:lvlText w:val="%6."/>
      <w:lvlJc w:val="right"/>
      <w:pPr>
        <w:ind w:left="4320" w:hanging="180"/>
      </w:pPr>
    </w:lvl>
    <w:lvl w:ilvl="6" w:tplc="73535293" w:tentative="1">
      <w:start w:val="1"/>
      <w:numFmt w:val="decimal"/>
      <w:lvlText w:val="%7."/>
      <w:lvlJc w:val="left"/>
      <w:pPr>
        <w:ind w:left="5040" w:hanging="360"/>
      </w:pPr>
    </w:lvl>
    <w:lvl w:ilvl="7" w:tplc="73535293" w:tentative="1">
      <w:start w:val="1"/>
      <w:numFmt w:val="lowerLetter"/>
      <w:lvlText w:val="%8."/>
      <w:lvlJc w:val="left"/>
      <w:pPr>
        <w:ind w:left="5760" w:hanging="360"/>
      </w:pPr>
    </w:lvl>
    <w:lvl w:ilvl="8" w:tplc="73535293" w:tentative="1">
      <w:start w:val="1"/>
      <w:numFmt w:val="lowerRoman"/>
      <w:lvlText w:val="%9."/>
      <w:lvlJc w:val="right"/>
      <w:pPr>
        <w:ind w:left="6480" w:hanging="180"/>
      </w:pPr>
    </w:lvl>
  </w:abstractNum>
  <w:abstractNum w:abstractNumId="2097">
    <w:multiLevelType w:val="hybridMultilevel"/>
    <w:lvl w:ilvl="0" w:tplc="9610851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97">
    <w:abstractNumId w:val="2097"/>
  </w:num>
  <w:num w:numId="2098">
    <w:abstractNumId w:val="20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2754268" Type="http://schemas.openxmlformats.org/officeDocument/2006/relationships/comments" Target="comments.xml"/><Relationship Id="rId806317061" Type="http://schemas.microsoft.com/office/2011/relationships/commentsExtended" Target="commentsExtended.xml"/><Relationship Id="rId13596445" Type="http://schemas.openxmlformats.org/officeDocument/2006/relationships/image" Target="media/imgrId13596445.jpg"/><Relationship Id="rId5039680f7ffb55bb3" Type="http://schemas.openxmlformats.org/officeDocument/2006/relationships/image" Target="media/imgrId5039680f7ffb55bb3.jpg"/><Relationship Id="rId2776680f7ffbbb78f" Type="http://schemas.openxmlformats.org/officeDocument/2006/relationships/image" Target="media/imgrId2776680f7ffbbb78f.jpg"/><Relationship Id="rId8129680f7ffbcffa2" Type="http://schemas.openxmlformats.org/officeDocument/2006/relationships/image" Target="media/imgrId8129680f7ffbcffa2.jpg"/><Relationship Id="rId8806680f7ffbd6654" Type="http://schemas.openxmlformats.org/officeDocument/2006/relationships/image" Target="media/imgrId8806680f7ffbd6654.jpg"/><Relationship Id="rId5461680f7ffbdc4e0" Type="http://schemas.openxmlformats.org/officeDocument/2006/relationships/image" Target="media/imgrId5461680f7ffbdc4e0.jpg"/><Relationship Id="rId5620680f7ffbeaaab" Type="http://schemas.openxmlformats.org/officeDocument/2006/relationships/image" Target="media/imgrId5620680f7ffbeaaab.png"/><Relationship Id="rId2673680f7ffbf1364" Type="http://schemas.openxmlformats.org/officeDocument/2006/relationships/image" Target="media/imgrId2673680f7ffbf1364.png"/><Relationship Id="rId4236680f7ffc10d26" Type="http://schemas.openxmlformats.org/officeDocument/2006/relationships/image" Target="media/imgrId4236680f7ffc10d26.png"/><Relationship Id="rId1478680f7ffc1fcda" Type="http://schemas.openxmlformats.org/officeDocument/2006/relationships/image" Target="media/imgrId1478680f7ffc1fcd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3596445" Type="http://schemas.openxmlformats.org/officeDocument/2006/relationships/image" Target="media/imgrId1359644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3596445" Type="http://schemas.openxmlformats.org/officeDocument/2006/relationships/image" Target="media/imgrId1359644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3596445" Type="http://schemas.openxmlformats.org/officeDocument/2006/relationships/image" Target="media/imgrId1359644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3596445" Type="http://schemas.openxmlformats.org/officeDocument/2006/relationships/image" Target="media/imgrId1359644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3596445" Type="http://schemas.openxmlformats.org/officeDocument/2006/relationships/image" Target="media/imgrId1359644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3596445" Type="http://schemas.openxmlformats.org/officeDocument/2006/relationships/image" Target="media/imgrId135964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