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techniques</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utilisation et entretien KDI 1903TCR - TCRE5 - TC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5013628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5546217"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8700926" w:name="ctxt"/>
    <w:bookmarkEnd w:id="38700926"/>
    <w:p>
      <w:pPr>
        <w:widowControl w:val="on"/>
        <w:pBdr/>
        <w:spacing w:before="75" w:after="75" w:line="240" w:lineRule="auto"/>
        <w:ind w:left="75" w:right="75"/>
        <w:jc w:val="left"/>
      </w:pPr>
    </w:p>
    <w:p>
      <w:pPr>
        <w:pStyle w:val="Titolo1"/>
      </w:pPr>
      <w:r>
        <w:rPr/>
        <w:t xml:space="preserve">Informations techniques</w:t>
      </w:r>
    </w:p>
    <w:p>
      <w:pPr>
        <w:widowControl w:val="on"/>
        <w:pBdr/>
        <w:spacing w:before="0" w:after="0" w:line="240" w:lineRule="auto"/>
        <w:ind w:left="0" w:right="0"/>
        <w:jc w:val="left"/>
      </w:pPr>
    </w:p>
    <w:p>
      <w:pPr>
        <w:pStyle w:val="Titolo2"/>
      </w:pPr>
      <w:r>
        <w:rPr/>
        <w:t xml:space="preserve">Description générale du moteur</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Diesel 4 temps avec cylindres en ligne; - Refroidissement par liquide;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soupapes par cylindre avec poussoirs hydrauliques;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Turbocompresseur avec soupape Waste-gate;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Injection directe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Données techniques du moteur</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CARACTÉRISTIQUES TECHNIQUES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33452498" name="name8958680f800792b09"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5200680f800792b05"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27038424" name="name4985680f8007b700c"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4191680f8007b7008"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MODÈLE DU MOTEUR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CYLINDRES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ALÉSAGE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COURSE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CYLINDRÉE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INCLINAISON MAXIMALE PENDANT LE FONCTIONNEMENT (même en combiné)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CAPACITÉ HUILE (niveau MAX.) avec filtre à huile monté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version standard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avec dispositif équilibreur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POIDS À SEC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Encombrement des moteurs (mm)</w:t>
      </w:r>
    </w:p>
    <w:p>
      <w:pPr>
        <w:widowControl w:val="on"/>
        <w:pBdr/>
        <w:spacing w:before="225" w:after="225" w:line="262" w:lineRule="auto"/>
        <w:ind w:left="0" w:right="0"/>
        <w:jc w:val="left"/>
      </w:pPr>
      <w:r>
        <w:drawing>
          <wp:inline distT="0" distB="0" distL="0" distR="0">
            <wp:extent cx="4752000" cy="2865600"/>
            <wp:effectExtent b="0" l="0" r="0" t="0"/>
            <wp:docPr id="15160472" name="name9166680f8007c8975"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8093680f8007c8971"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898327" name="name5847680f8007cdd5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45680f8007cdd5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3564"/>
        </w:numPr>
        <w:spacing w:before="0" w:after="0" w:line="240" w:lineRule="auto"/>
        <w:jc w:val="left"/>
        <w:rPr>
          <w:color w:val="00274C"/>
          <w:sz w:val="20"/>
          <w:szCs w:val="20"/>
        </w:rPr>
      </w:pPr>
      <w:r>
        <w:rPr>
          <w:color w:val="00274C"/>
          <w:sz w:val="20"/>
          <w:szCs w:val="20"/>
          <w:u w:val="none"/>
        </w:rPr>
        <w:t xml:space="preserve">Le moteur peut s'endommager si on le fait fonctionner avec un niveau d'huile incorrect.</w:t>
      </w:r>
    </w:p>
    <w:p>
      <w:pPr>
        <w:numPr>
          <w:ilvl w:val="0"/>
          <w:numId w:val="23564"/>
        </w:numPr>
        <w:spacing w:before="0" w:after="0" w:line="240" w:lineRule="auto"/>
        <w:jc w:val="left"/>
        <w:rPr>
          <w:color w:val="00274C"/>
          <w:sz w:val="20"/>
          <w:szCs w:val="20"/>
        </w:rPr>
      </w:pPr>
      <w:r>
        <w:rPr>
          <w:color w:val="00274C"/>
          <w:sz w:val="20"/>
          <w:szCs w:val="20"/>
          <w:u w:val="none"/>
        </w:rPr>
        <w:t xml:space="preserve">Ne pas dépasser le niveau MAX. car sa combustion peut provoquer une brusque augmentation de la vitesse de rotation.</w:t>
      </w:r>
    </w:p>
    <w:p>
      <w:pPr>
        <w:numPr>
          <w:ilvl w:val="0"/>
          <w:numId w:val="23564"/>
        </w:numPr>
        <w:spacing w:before="0" w:after="0" w:line="240" w:lineRule="auto"/>
        <w:jc w:val="left"/>
        <w:rPr>
          <w:color w:val="00274C"/>
          <w:sz w:val="20"/>
          <w:szCs w:val="20"/>
        </w:rPr>
      </w:pPr>
      <w:r>
        <w:rPr>
          <w:color w:val="00274C"/>
          <w:sz w:val="20"/>
          <w:szCs w:val="20"/>
          <w:u w:val="none"/>
        </w:rPr>
        <w:t xml:space="preserve">N'utiliser que l'huile prescrite afin de garantir une protection adéquate, l'efficacité et la durée du moteur.</w:t>
      </w:r>
    </w:p>
    <w:p>
      <w:pPr>
        <w:numPr>
          <w:ilvl w:val="0"/>
          <w:numId w:val="23564"/>
        </w:numPr>
        <w:spacing w:before="0" w:after="0" w:line="240" w:lineRule="auto"/>
        <w:jc w:val="left"/>
        <w:rPr>
          <w:color w:val="00274C"/>
          <w:sz w:val="20"/>
          <w:szCs w:val="20"/>
        </w:rPr>
      </w:pPr>
      <w:r>
        <w:rPr>
          <w:color w:val="00274C"/>
          <w:sz w:val="20"/>
          <w:szCs w:val="20"/>
          <w:u w:val="none"/>
        </w:rPr>
        <w:t xml:space="preserve">En cas d'utilisation d'une huile ayant une qualité inférieure à celle prescrite, la durée du moteur sera considérablement compromise.</w:t>
      </w:r>
    </w:p>
    <w:p>
      <w:pPr>
        <w:numPr>
          <w:ilvl w:val="0"/>
          <w:numId w:val="23564"/>
        </w:numPr>
        <w:spacing w:before="0" w:after="0" w:line="240" w:lineRule="auto"/>
        <w:jc w:val="left"/>
        <w:rPr>
          <w:color w:val="00274C"/>
          <w:sz w:val="20"/>
          <w:szCs w:val="20"/>
        </w:rPr>
      </w:pPr>
      <w:r>
        <w:rPr>
          <w:color w:val="00274C"/>
          <w:sz w:val="20"/>
          <w:szCs w:val="20"/>
          <w:u w:val="none"/>
        </w:rPr>
        <w:t xml:space="preserve">La viscosité de l'huile doit être adaptée à la température ambiante à laquelle le moteur fonctionne.</w:t>
      </w:r>
    </w:p>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154860" name="name9272680f8007d386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997680f8007d386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3564"/>
        </w:numPr>
        <w:spacing w:before="0" w:after="0" w:line="240" w:lineRule="auto"/>
        <w:jc w:val="left"/>
        <w:rPr>
          <w:color w:val="00274C"/>
          <w:sz w:val="20"/>
          <w:szCs w:val="20"/>
        </w:rPr>
      </w:pPr>
      <w:r>
        <w:rPr>
          <w:color w:val="00274C"/>
          <w:sz w:val="20"/>
          <w:szCs w:val="20"/>
          <w:u w:val="none"/>
        </w:rPr>
        <w:t xml:space="preserve">Le contact prolongé de la peau avec de l'huile de moteur usée peut entraîner un cancer de la peau.</w:t>
      </w:r>
    </w:p>
    <w:p>
      <w:pPr>
        <w:numPr>
          <w:ilvl w:val="0"/>
          <w:numId w:val="23564"/>
        </w:numPr>
        <w:spacing w:before="0" w:after="0" w:line="240" w:lineRule="auto"/>
        <w:jc w:val="left"/>
        <w:rPr>
          <w:color w:val="00274C"/>
          <w:sz w:val="20"/>
          <w:szCs w:val="20"/>
        </w:rPr>
      </w:pPr>
      <w:r>
        <w:rPr>
          <w:color w:val="00274C"/>
          <w:sz w:val="20"/>
          <w:szCs w:val="20"/>
          <w:u w:val="none"/>
        </w:rPr>
        <w:t xml:space="preserve">Si le contact avec l'huile est inévitable, se laver soigneusement les mains avec de l'eau et du savon dès que possible.</w:t>
      </w:r>
    </w:p>
    <w:p>
      <w:pPr>
        <w:numPr>
          <w:ilvl w:val="0"/>
          <w:numId w:val="23564"/>
        </w:numPr>
        <w:spacing w:before="0" w:after="0" w:line="240" w:lineRule="auto"/>
        <w:jc w:val="left"/>
        <w:rPr>
          <w:color w:val="00274C"/>
          <w:sz w:val="20"/>
          <w:szCs w:val="20"/>
        </w:rPr>
      </w:pPr>
      <w:r>
        <w:rPr>
          <w:color w:val="00274C"/>
          <w:sz w:val="20"/>
          <w:szCs w:val="20"/>
          <w:u w:val="none"/>
        </w:rPr>
        <w:t xml:space="preserve">Pour l'élimination de l'huile usée, se référer au </w:t>
      </w:r>
      <w:r>
        <w:rPr>
          <w:b/>
          <w:bCs/>
          <w:color w:val="00274C"/>
          <w:sz w:val="20"/>
          <w:szCs w:val="20"/>
          <w:u w:val="none"/>
        </w:rPr>
        <w:t xml:space="preserve">Par. DÉMANTÈLEMENT ET DESTRUCTION</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Classification de l'huile SAE</w:t>
      </w:r>
    </w:p>
    <w:p>
      <w:pPr>
        <w:numPr>
          <w:ilvl w:val="0"/>
          <w:numId w:val="23564"/>
        </w:numPr>
        <w:spacing w:before="0" w:after="0" w:line="240" w:lineRule="auto"/>
        <w:jc w:val="left"/>
        <w:rPr>
          <w:color w:val="00274C"/>
          <w:sz w:val="20"/>
          <w:szCs w:val="20"/>
        </w:rPr>
      </w:pPr>
      <w:r>
        <w:rPr>
          <w:color w:val="00274C"/>
          <w:sz w:val="20"/>
          <w:szCs w:val="20"/>
          <w:u w:val="none"/>
        </w:rPr>
        <w:t xml:space="preserve">Elle identifie les huiles en fonction de la viscosité, sans tenir compte d’aucune autre caractéristique qualitative.</w:t>
      </w:r>
    </w:p>
    <w:p>
      <w:pPr>
        <w:numPr>
          <w:ilvl w:val="0"/>
          <w:numId w:val="23564"/>
        </w:numPr>
        <w:spacing w:before="0" w:after="0" w:line="240" w:lineRule="auto"/>
        <w:jc w:val="left"/>
        <w:rPr>
          <w:color w:val="00274C"/>
          <w:sz w:val="20"/>
          <w:szCs w:val="20"/>
        </w:rPr>
      </w:pPr>
      <w:r>
        <w:rPr>
          <w:color w:val="00274C"/>
          <w:sz w:val="20"/>
          <w:szCs w:val="20"/>
          <w:u w:val="none"/>
        </w:rPr>
        <w:t xml:space="preserve">Le code est composé de deux numéros qui indiquent et doivent correspondre à la température ambiante à laquelle le moteur fonctionne, avec l'interposition d'un « </w:t>
      </w:r>
      <w:r>
        <w:rPr>
          <w:b/>
          <w:bCs/>
          <w:color w:val="00274C"/>
          <w:sz w:val="20"/>
          <w:szCs w:val="20"/>
          <w:u w:val="none"/>
        </w:rPr>
        <w:t xml:space="preserve">W</w:t>
      </w:r>
      <w:r>
        <w:rPr>
          <w:color w:val="00274C"/>
          <w:sz w:val="20"/>
          <w:szCs w:val="20"/>
          <w:u w:val="none"/>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HUILE PRESCRIT</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AVEC SPECIFICATIONS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3564"/>
        </w:numPr>
        <w:spacing w:before="0" w:after="0" w:line="240" w:lineRule="auto"/>
        <w:jc w:val="left"/>
        <w:rPr>
          <w:color w:val="00274C"/>
          <w:sz w:val="20"/>
          <w:szCs w:val="20"/>
        </w:rPr>
      </w:pPr>
      <w:r>
        <w:rPr>
          <w:color w:val="00274C"/>
          <w:sz w:val="20"/>
          <w:szCs w:val="20"/>
          <w:u w:val="none"/>
        </w:rPr>
        <w:t xml:space="preserve">La technologie Low S.AP.S. (huile présentant une faible teneur en cendres sulfatées, en phosphore et en soufre), maintient le catalyseur en bonnes conditions de fonctionnement. La présence de cendres sulfatées, de phosphore et de soufre entraîne au fil du temps un colmatage du catalyseur et donc son manque d’efficacité.</w:t>
      </w:r>
    </w:p>
    <w:p>
      <w:pPr>
        <w:numPr>
          <w:ilvl w:val="0"/>
          <w:numId w:val="23564"/>
        </w:numPr>
        <w:spacing w:before="0" w:after="0" w:line="240" w:lineRule="auto"/>
        <w:jc w:val="left"/>
        <w:rPr>
          <w:color w:val="00274C"/>
          <w:sz w:val="20"/>
          <w:szCs w:val="20"/>
        </w:rPr>
      </w:pPr>
      <w:r>
        <w:rPr>
          <w:color w:val="00274C"/>
          <w:sz w:val="20"/>
          <w:szCs w:val="20"/>
          <w:u w:val="none"/>
        </w:rPr>
        <w:t xml:space="preserve">Pour la séquence d’huile Mid S.A.P.S, le niveau de cendres sulfatées est identique à l'API CJ-4 ≤ 1,0 %, mais conformément à la normalisation ACEA, ces huiles sont référencées sous Mid SAPS.</w:t>
      </w:r>
    </w:p>
    <w:p>
      <w:pPr>
        <w:numPr>
          <w:ilvl w:val="0"/>
          <w:numId w:val="23564"/>
        </w:numPr>
        <w:spacing w:before="0" w:after="0" w:line="240" w:lineRule="auto"/>
        <w:jc w:val="left"/>
        <w:rPr>
          <w:color w:val="00274C"/>
          <w:sz w:val="20"/>
          <w:szCs w:val="20"/>
        </w:rPr>
      </w:pPr>
      <w:r>
        <w:rPr>
          <w:color w:val="00274C"/>
          <w:sz w:val="20"/>
          <w:szCs w:val="20"/>
          <w:u w:val="none"/>
        </w:rPr>
        <w:t xml:space="preserve">La filtration de l’huile est essentielle au fonctionnement et à la lubrification corrects ; toujours remplacer régulièrement les filtres comme spécifié dans ce manuel.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w:t>
      </w:r>
      <w:r>
        <w:rPr>
          <w:b/>
          <w:bCs/>
          <w:color w:val="00274C"/>
          <w:sz w:val="20"/>
          <w:szCs w:val="20"/>
          <w:u w:val="none"/>
        </w:rPr>
        <w:t xml:space="preserve">-</w:t>
      </w:r>
      <w:r>
        <w:rPr>
          <w:b/>
          <w:bCs/>
          <w:color w:val="00274C"/>
          <w:sz w:val="20"/>
          <w:szCs w:val="20"/>
          <w:u w:val="none"/>
        </w:rPr>
        <w:t xml:space="preserve"> REMARQUE</w:t>
      </w:r>
      <w:r>
        <w:rPr>
          <w:color w:val="00274C"/>
          <w:sz w:val="20"/>
          <w:szCs w:val="20"/>
          <w:u w:val="none"/>
        </w:rPr>
        <w:t xml:space="preserve"> : NE PAS utiliser de carburant dont la teneur en soufre est supérieure à 15 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Sur tous les moteurs conformes aux normes sur les émissions Stage-V (moteurs pourvus du dispositif DPF), l’huile utilisée doit être obligatoirement conforme à la spécification API CJ-4 Low S.A.P.S ou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REMARQUE</w:t>
      </w:r>
      <w:r>
        <w:rPr>
          <w:color w:val="00274C"/>
          <w:sz w:val="20"/>
          <w:szCs w:val="20"/>
          <w:u w:val="none"/>
        </w:rPr>
        <w:t xml:space="preserve"> : NE PAS utiliser de carburant dont la teneur en soufre est supérieure à 500 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REMARQUE</w:t>
      </w:r>
      <w:r>
        <w:rPr>
          <w:color w:val="00274C"/>
          <w:sz w:val="20"/>
          <w:szCs w:val="20"/>
          <w:u w:val="none"/>
        </w:rPr>
        <w:t xml:space="preserve"> : Les huiles « low SAPS », avec des cendres sulfatées 50 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5527459" name="name9928680f8007e09d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639680f8007e09c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3564"/>
              </w:numPr>
              <w:spacing w:before="0" w:after="0" w:line="262" w:lineRule="auto"/>
              <w:jc w:val="left"/>
              <w:rPr>
                <w:color w:val="00274C"/>
                <w:sz w:val="20"/>
                <w:szCs w:val="20"/>
              </w:rPr>
            </w:pPr>
            <w:r>
              <w:rPr>
                <w:color w:val="00274C"/>
                <w:position w:val="-2"/>
                <w:sz w:val="20"/>
                <w:szCs w:val="20"/>
                <w:u w:val="none"/>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23564"/>
              </w:numPr>
              <w:spacing w:before="0" w:after="0" w:line="262" w:lineRule="auto"/>
              <w:jc w:val="left"/>
              <w:rPr>
                <w:color w:val="00274C"/>
                <w:sz w:val="20"/>
                <w:szCs w:val="20"/>
              </w:rPr>
            </w:pPr>
            <w:r>
              <w:rPr>
                <w:color w:val="00274C"/>
                <w:position w:val="-2"/>
                <w:sz w:val="20"/>
                <w:szCs w:val="20"/>
                <w:u w:val="none"/>
              </w:rPr>
              <w:t xml:space="preserve">Toute défaillance résultant de l’utilisation de carburants autres que ceux recommandée, ne sera pas prise en charge sous garantie.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93669979" name="name5376680f8007ea0dd"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6595680f8007ea0d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Avertissement</w:t>
            </w:r>
          </w:p>
          <w:p>
            <w:pPr>
              <w:numPr>
                <w:ilvl w:val="0"/>
                <w:numId w:val="23564"/>
              </w:numPr>
              <w:spacing w:before="0" w:after="0" w:line="262" w:lineRule="auto"/>
              <w:jc w:val="left"/>
              <w:rPr>
                <w:color w:val="00274C"/>
                <w:sz w:val="20"/>
                <w:szCs w:val="20"/>
              </w:rPr>
            </w:pPr>
            <w:r>
              <w:rPr>
                <w:color w:val="00274C"/>
                <w:position w:val="0"/>
                <w:sz w:val="20"/>
                <w:szCs w:val="20"/>
                <w:u w:val="none"/>
              </w:rPr>
              <w:t xml:space="preserve">Un carburant propre évite le colmatage des injecteurs de carburant. Nettoyer immédiatement tout déversement pendant le remplissage.</w:t>
            </w:r>
          </w:p>
          <w:p>
            <w:pPr>
              <w:numPr>
                <w:ilvl w:val="0"/>
                <w:numId w:val="23564"/>
              </w:numPr>
              <w:spacing w:before="0" w:after="0" w:line="262" w:lineRule="auto"/>
              <w:jc w:val="left"/>
              <w:rPr>
                <w:color w:val="00274C"/>
                <w:sz w:val="20"/>
                <w:szCs w:val="20"/>
              </w:rPr>
            </w:pPr>
            <w:r>
              <w:rPr>
                <w:color w:val="00274C"/>
                <w:position w:val="0"/>
                <w:sz w:val="20"/>
                <w:szCs w:val="20"/>
                <w:u w:val="none"/>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numPr>
                <w:ilvl w:val="0"/>
                <w:numId w:val="23564"/>
              </w:numPr>
              <w:spacing w:before="0" w:after="0" w:line="262" w:lineRule="auto"/>
              <w:jc w:val="left"/>
              <w:rPr>
                <w:color w:val="00274C"/>
                <w:sz w:val="20"/>
                <w:szCs w:val="20"/>
              </w:rPr>
            </w:pPr>
            <w:r>
              <w:rPr>
                <w:color w:val="00274C"/>
                <w:position w:val="0"/>
                <w:sz w:val="20"/>
                <w:szCs w:val="20"/>
                <w:u w:val="none"/>
              </w:rPr>
              <w:t xml:space="preserve">Toute panne résultant de l'utilisation d'un carburant autre que </w:t>
            </w:r>
            <w:r>
              <w:rPr>
                <w:b/>
                <w:bCs/>
                <w:color w:val="00274C"/>
                <w:position w:val="0"/>
                <w:sz w:val="20"/>
                <w:szCs w:val="20"/>
                <w:u w:val="none"/>
              </w:rPr>
              <w:t xml:space="preserve">Tab. 2.3, 2.4</w:t>
            </w:r>
            <w:r>
              <w:rPr>
                <w:color w:val="00274C"/>
                <w:position w:val="0"/>
                <w:sz w:val="20"/>
                <w:szCs w:val="20"/>
                <w:u w:val="none"/>
              </w:rPr>
              <w:t xml:space="preserve"> ne seront pas couverts par la garantie.</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Indice de cétane de 40 minimum. Un indice de cétane supérieur à 47 est préférable, en particulier pour des températures inférieures à –20 °C (–4 °F) ou des altitudes supérieures à 1675 m (5500 pieds).</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pas de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dans les régions connues pour la mauvaise qualité du lubrifiant du gasoil ou si le moteur est utilisé avec des carburéacteurs, le filtre primaire doit être capable de doser le lubrifiant. Contactez Kohler pour plus d'informations sur le filtre approuvé à cet effet.</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Type de carburant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N'UTILISEZ PAS les huiles végétales comme biocarburant non conforme à la norme EN 590.</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La puissance et le couple peuvent être inférieurs de 1 à 5 % en raison de la faible densité du carburant par rapport au gasoil standard.</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 F-54 selon la dénomination militaire OTAN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Pour les températures ambiantes inférieures à 0°C (32°F) et en l'absence de carburant arctique disponible (Grade 1-D S15, Grade 2-D S15, ASTM D 975), utilisez les additifs suivants pour éviter un potentiel endommagement du moteur à faible charge par temps froid:</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564"/>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Les additifs différents ne sont pas autorisés.</w:t>
                  </w:r>
                </w:p>
                <w:p>
                  <w:pPr>
                    <w:widowControl w:val="on"/>
                    <w:pBdr/>
                    <w:spacing w:before="0" w:after="0" w:line="262" w:lineRule="auto"/>
                    <w:ind w:left="0" w:right="0"/>
                    <w:jc w:val="left"/>
                    <w:textAlignment w:val="center"/>
                  </w:pPr>
                  <w:r>
                    <w:rPr>
                      <w:color w:val="00274C"/>
                      <w:position w:val="-2"/>
                      <w:sz w:val="20"/>
                      <w:szCs w:val="20"/>
                      <w:u w:val="none"/>
                    </w:rPr>
                    <w:t xml:space="preserve">L'utilisation d'additifs approuvés n'a aucune incidence sur le calendrier d'entretien du moteur.</w:t>
                  </w:r>
                </w:p>
                <w:p/>
                <w:p/>
                <w:p>
                  <w:pPr>
                    <w:widowControl w:val="on"/>
                    <w:pBdr/>
                    <w:spacing w:before="0" w:after="0" w:line="262" w:lineRule="auto"/>
                    <w:ind w:left="0" w:right="0"/>
                    <w:jc w:val="left"/>
                    <w:textAlignment w:val="center"/>
                  </w:pPr>
                  <w:r>
                    <w:rPr>
                      <w:color w:val="00274C"/>
                      <w:position w:val="-2"/>
                      <w:sz w:val="20"/>
                      <w:szCs w:val="20"/>
                      <w:u w:val="none"/>
                    </w:rPr>
                    <w:t xml:space="preserve">N'UTILISEZ PAS les huiles végétales comme biocarburant non conforme à la norme ASTM D975 Grade1 et Grade2.</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 soufré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 soufré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 fortement soufré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Carburant fortement soufré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(kérosène, dénomination OTAN)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Fonctionnement avec carburéacteurs</w:t>
                  </w:r>
                </w:p>
                <w:p/>
                <w:p/>
                <w:p>
                  <w:pPr>
                    <w:widowControl w:val="on"/>
                    <w:pBdr/>
                    <w:spacing w:before="0" w:after="0" w:line="262" w:lineRule="auto"/>
                    <w:ind w:left="0" w:right="0"/>
                    <w:jc w:val="left"/>
                    <w:textAlignment w:val="center"/>
                  </w:pPr>
                  <w:r>
                    <w:rPr>
                      <w:color w:val="00274C"/>
                      <w:position w:val="-2"/>
                      <w:sz w:val="20"/>
                      <w:szCs w:val="20"/>
                      <w:u w:val="none"/>
                    </w:rPr>
                    <w:t xml:space="preserve">Les carburéacteurs peuvent être utilisés mais uniquement en adoptant un filtre carburant supplémentaire avec doseur de lubrifiant.</w:t>
                  </w:r>
                </w:p>
                <w:p>
                  <w:pPr>
                    <w:widowControl w:val="on"/>
                    <w:pBdr/>
                    <w:spacing w:before="0" w:after="0" w:line="262" w:lineRule="auto"/>
                    <w:ind w:left="0" w:right="0"/>
                    <w:jc w:val="left"/>
                    <w:textAlignment w:val="center"/>
                  </w:pPr>
                  <w:r>
                    <w:rPr>
                      <w:color w:val="00274C"/>
                      <w:position w:val="-2"/>
                      <w:sz w:val="20"/>
                      <w:szCs w:val="20"/>
                      <w:u w:val="none"/>
                    </w:rPr>
                    <w:t xml:space="preserve">En raison d'une densité plus faible et d'une perte de carburant plus importante dues à une viscosité plus faible, selon le régime et le couple du moteur, une perte de puissance jusqu'à 10 % est possible.</w:t>
                  </w:r>
                </w:p>
                <w:p>
                  <w:pPr>
                    <w:widowControl w:val="on"/>
                    <w:pBdr/>
                    <w:spacing w:before="0" w:after="0" w:line="262" w:lineRule="auto"/>
                    <w:ind w:left="0" w:right="0"/>
                    <w:jc w:val="left"/>
                    <w:textAlignment w:val="center"/>
                  </w:pPr>
                  <w:r>
                    <w:rPr>
                      <w:color w:val="00274C"/>
                      <w:position w:val="-2"/>
                      <w:sz w:val="20"/>
                      <w:szCs w:val="20"/>
                      <w:u w:val="none"/>
                    </w:rPr>
                    <w:t xml:space="preserve">Parmi les carburéacteurs répertoriés, certains présentent des propriétés problématiques (viscosité, pouvoir lubrifiant et faible point d'ébullition). Il faut s'attendre à une légère augmentation de l'usure du système d'injection, qui peut conduire à une réduction statistique de la durée de vie de ces composants. La teneur en soufre doit être inférieure à 2000 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(kérosène, dénomination OTAN)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(kérosène, dénomination OTAN, équivalent au F-34/F-35 avec additifs)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(kérosène, désignation militaire américaine)</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(kérosène, désignation militaire américaine)</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(kérosène pour l'aviation civile)</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(kérosène pour l'aviation civile)</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ADDITIFS POUR CARBURANT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center"/>
                  </w:pPr>
                  <w:r>
                    <w:rPr>
                      <w:b/>
                      <w:bCs/>
                      <w:color w:val="00274C"/>
                      <w:position w:val="0"/>
                      <w:sz w:val="20"/>
                      <w:szCs w:val="20"/>
                      <w:u w:val="none"/>
                    </w:rPr>
                    <w:t xml:space="preserve">Remarques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Les additifs pour carburant ayant des fonctions biocides/algicides sont autorisés uniquement en cas de stockage du carburant dans le réservoir pendant de longues périodes (un an ou plus).</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Pour connaître les marques et types suggérés, contactez le personnel de Kohler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Ces additifs doivent être dilués dans le carburant en respectant les pourcentages prescrits sur l’étiquette produit lors du remplissage du réservoir.</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Les additifs ayant une fonction autre que biocide/algicide ne sont pas autorisés.</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Recommandation pour les liquides de refroidissement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réfrigérant moteur suivant à base d’éthylène-glycol peut être utilisé pour tous les modèles de la gamme de moteurs KDI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564"/>
              </w:numPr>
              <w:spacing w:before="0" w:after="0" w:line="262" w:lineRule="auto"/>
              <w:jc w:val="left"/>
              <w:rPr>
                <w:color w:val="00274C"/>
                <w:sz w:val="20"/>
                <w:szCs w:val="20"/>
              </w:rPr>
            </w:pPr>
            <w:r>
              <w:rPr>
                <w:color w:val="00274C"/>
                <w:position w:val="-2"/>
                <w:sz w:val="20"/>
                <w:szCs w:val="20"/>
                <w:u w:val="none"/>
              </w:rPr>
              <w:t xml:space="preserve">OAT (à base d’acide organique) Faible teneur en silicates : </w:t>
            </w:r>
            <w:r>
              <w:rPr>
                <w:b/>
                <w:bCs/>
                <w:color w:val="00274C"/>
                <w:position w:val="-2"/>
                <w:sz w:val="20"/>
                <w:szCs w:val="20"/>
                <w:u w:val="none"/>
              </w:rPr>
              <w:t xml:space="preserve">ASTM D-3306 D-6210</w:t>
            </w:r>
          </w:p>
          <w:p>
            <w:pPr>
              <w:numPr>
                <w:ilvl w:val="0"/>
                <w:numId w:val="23564"/>
              </w:numPr>
              <w:spacing w:before="0" w:after="0" w:line="262" w:lineRule="auto"/>
              <w:jc w:val="left"/>
              <w:rPr>
                <w:color w:val="00274C"/>
                <w:sz w:val="20"/>
                <w:szCs w:val="20"/>
              </w:rPr>
            </w:pPr>
            <w:r>
              <w:rPr>
                <w:color w:val="00274C"/>
                <w:position w:val="-2"/>
                <w:sz w:val="20"/>
                <w:szCs w:val="20"/>
                <w:u w:val="none"/>
              </w:rPr>
              <w:t xml:space="preserve">HOAT (à base d’acide organique hybride) Faible teneur en silicates :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5626435" name="name5867680f8008073d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997680f8008073d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3564"/>
              </w:numPr>
              <w:spacing w:before="0" w:after="0" w:line="262" w:lineRule="auto"/>
              <w:jc w:val="left"/>
              <w:rPr>
                <w:color w:val="00274C"/>
                <w:sz w:val="20"/>
                <w:szCs w:val="20"/>
              </w:rPr>
            </w:pPr>
            <w:r>
              <w:rPr>
                <w:color w:val="00274C"/>
                <w:position w:val="-2"/>
                <w:sz w:val="20"/>
                <w:szCs w:val="20"/>
                <w:u w:val="none"/>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23564"/>
              </w:numPr>
              <w:spacing w:before="0" w:after="0" w:line="262" w:lineRule="auto"/>
              <w:jc w:val="left"/>
              <w:rPr>
                <w:color w:val="00274C"/>
                <w:sz w:val="20"/>
                <w:szCs w:val="20"/>
              </w:rPr>
            </w:pPr>
            <w:r>
              <w:rPr>
                <w:color w:val="00274C"/>
                <w:position w:val="-2"/>
                <w:sz w:val="20"/>
                <w:szCs w:val="20"/>
                <w:u w:val="none"/>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u w:val="none"/>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Caractéristiques des batteries</w:t>
      </w:r>
    </w:p>
    <w:p>
      <w:pPr>
        <w:widowControl w:val="on"/>
        <w:pBdr/>
        <w:spacing w:before="0" w:after="0" w:line="262" w:lineRule="auto"/>
        <w:ind w:left="0" w:right="0"/>
        <w:jc w:val="left"/>
      </w:pPr>
      <w:r>
        <w:rPr>
          <w:b/>
          <w:bCs/>
          <w:color w:val="00274C"/>
          <w:sz w:val="20"/>
          <w:szCs w:val="20"/>
          <w:u w:val="none"/>
        </w:rPr>
        <w:t xml:space="preserve">Batterie non fournie par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BATTERIES CONSEILLÉES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TEMPÉRATURE AMBIANTE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TYPE DE BATTERIE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Tableau de commande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Dans le </w:t>
            </w:r>
            <w:r>
              <w:rPr>
                <w:b/>
                <w:bCs/>
                <w:color w:val="00274C"/>
                <w:position w:val="-2"/>
                <w:sz w:val="20"/>
                <w:szCs w:val="20"/>
                <w:u w:val="none"/>
              </w:rPr>
              <w:t xml:space="preserve">Tab. 2.8</w:t>
            </w:r>
            <w:r>
              <w:rPr>
                <w:color w:val="00274C"/>
                <w:position w:val="-2"/>
                <w:sz w:val="20"/>
                <w:szCs w:val="20"/>
                <w:u w:val="none"/>
              </w:rPr>
              <w:t xml:space="preserve">  sont indiqués les composants du tableau de commande.
</w:t>
            </w:r>
          </w:p>
          <w:p>
            <w:pPr>
              <w:widowControl w:val="on"/>
              <w:pBdr/>
              <w:spacing w:before="0" w:after="0" w:line="262" w:lineRule="auto"/>
              <w:ind w:left="0" w:right="0"/>
              <w:jc w:val="left"/>
              <w:textAlignment w:val="center"/>
            </w:pPr>
            <w:r>
              <w:rPr>
                <w:b/>
                <w:bCs/>
                <w:color w:val="00274C"/>
                <w:position w:val="-2"/>
                <w:sz w:val="20"/>
                <w:szCs w:val="20"/>
                <w:u w:val="none"/>
              </w:rPr>
              <w:br/>
              <w:t xml:space="preserve">Tab 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Interrupteur d'allumage du tableau et moteur avec clé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Écran pour consultation des données ou des erreurs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Bouton fléché de navigation dans le menu supérieur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Bouton fléché de navigation dans le menu inférieur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Bouton de sélection ou saisie des données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LED d'état de fonctionnement du moteur (verte = aucun problème rencontré)</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85292013" name="name1950680f8008160b2"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9900680f8008160ae"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si la LED </w:t>
            </w:r>
            <w:r>
              <w:rPr>
                <w:b/>
                <w:bCs/>
                <w:color w:val="00274C"/>
                <w:position w:val="-2"/>
                <w:sz w:val="20"/>
                <w:szCs w:val="20"/>
                <w:u w:val="none"/>
              </w:rPr>
              <w:t xml:space="preserve">F</w:t>
            </w:r>
            <w:r>
              <w:rPr>
                <w:color w:val="00274C"/>
                <w:position w:val="-2"/>
                <w:sz w:val="20"/>
                <w:szCs w:val="20"/>
                <w:u w:val="none"/>
              </w:rPr>
              <w:t xml:space="preserve"> est allumée en rouge, consulter les ateliers autorisés </w:t>
            </w:r>
            <w:r>
              <w:rPr>
                <w:b/>
                <w:bCs/>
                <w:color w:val="00274C"/>
                <w:position w:val="-2"/>
                <w:sz w:val="20"/>
                <w:szCs w:val="20"/>
                <w:u w:val="none"/>
              </w:rPr>
              <w:t xml:space="preserve">KOHLER</w:t>
            </w:r>
            <w:r>
              <w:rPr>
                <w:color w:val="00274C"/>
                <w:position w:val="-2"/>
                <w:sz w:val="20"/>
                <w:szCs w:val="20"/>
                <w:u w:val="none"/>
              </w:rPr>
              <w:t xml:space="preserve"> pour connaître le type de problème. Pour certains problèmes, l'arrêt automatique du moteur se déclenche.</w:t>
            </w:r>
          </w:p>
          <w:p/>
          <w:p/>
          <w:p>
            <w:pPr>
              <w:widowControl w:val="on"/>
              <w:pBdr/>
              <w:spacing w:before="0" w:after="0" w:line="262" w:lineRule="auto"/>
              <w:ind w:left="0" w:right="0"/>
              <w:jc w:val="left"/>
              <w:textAlignment w:val="center"/>
            </w:pPr>
            <w:r>
              <w:rPr>
                <w:color w:val="00274C"/>
                <w:position w:val="-2"/>
                <w:sz w:val="20"/>
                <w:szCs w:val="20"/>
                <w:u w:val="none"/>
              </w:rPr>
              <w:t xml:space="preserve">Le </w:t>
            </w:r>
            <w:r>
              <w:rPr>
                <w:b/>
                <w:bCs/>
                <w:color w:val="00274C"/>
                <w:position w:val="-2"/>
                <w:sz w:val="20"/>
                <w:szCs w:val="20"/>
                <w:u w:val="none"/>
              </w:rPr>
              <w:t xml:space="preserve">Tab. 2.9</w:t>
            </w:r>
            <w:r>
              <w:rPr>
                <w:color w:val="00274C"/>
                <w:position w:val="-2"/>
                <w:sz w:val="20"/>
                <w:szCs w:val="20"/>
                <w:u w:val="none"/>
              </w:rPr>
              <w:t xml:space="preserve">  indique les données qu'il est possible de consulter à l'écran </w:t>
            </w:r>
            <w:r>
              <w:rPr>
                <w:b/>
                <w:bCs/>
                <w:color w:val="00274C"/>
                <w:position w:val="-2"/>
                <w:sz w:val="20"/>
                <w:szCs w:val="20"/>
                <w:u w:val="none"/>
              </w:rPr>
              <w:t xml:space="preserve">B</w:t>
            </w:r>
            <w:r>
              <w:rPr>
                <w:color w:val="00274C"/>
                <w:position w:val="-2"/>
                <w:sz w:val="20"/>
                <w:szCs w:val="20"/>
                <w:u w:val="none"/>
              </w:rPr>
              <w:t xml:space="preserve"> en appuyant sur les boutons </w:t>
            </w:r>
            <w:r>
              <w:rPr>
                <w:b/>
                <w:bCs/>
                <w:color w:val="00274C"/>
                <w:position w:val="-2"/>
                <w:sz w:val="20"/>
                <w:szCs w:val="20"/>
                <w:u w:val="none"/>
              </w:rPr>
              <w:t xml:space="preserve">C</w:t>
            </w:r>
            <w:r>
              <w:rPr>
                <w:color w:val="00274C"/>
                <w:position w:val="-2"/>
                <w:sz w:val="20"/>
                <w:szCs w:val="20"/>
                <w:u w:val="none"/>
              </w:rPr>
              <w:t xml:space="preserve"> ou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les données décrites dans le </w:t>
            </w:r>
            <w:r>
              <w:rPr>
                <w:b/>
                <w:bCs/>
                <w:color w:val="00274C"/>
                <w:position w:val="-2"/>
                <w:sz w:val="20"/>
                <w:szCs w:val="20"/>
                <w:u w:val="none"/>
              </w:rPr>
              <w:t xml:space="preserve">Tab. 2.9</w:t>
            </w:r>
            <w:r>
              <w:rPr>
                <w:color w:val="00274C"/>
                <w:position w:val="-2"/>
                <w:sz w:val="20"/>
                <w:szCs w:val="20"/>
                <w:u w:val="none"/>
              </w:rPr>
              <w:t xml:space="preserve">  peuvent être différentes; dans ce cas, consulter le manuel de la machine.</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Heures de fonctionnement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Heures restantes jusqu'à l'entretien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Tours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huile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Couple utilisé @ rpm (% d'utilisation)</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3565">
    <w:multiLevelType w:val="hybridMultilevel"/>
    <w:lvl w:ilvl="0" w:tplc="17365897">
      <w:start w:val="1"/>
      <w:numFmt w:val="decimal"/>
      <w:lvlText w:val="%1."/>
      <w:lvlJc w:val="left"/>
      <w:pPr>
        <w:ind w:left="720" w:hanging="360"/>
      </w:pPr>
    </w:lvl>
    <w:lvl w:ilvl="1" w:tplc="17365897" w:tentative="1">
      <w:start w:val="1"/>
      <w:numFmt w:val="lowerLetter"/>
      <w:lvlText w:val="%2."/>
      <w:lvlJc w:val="left"/>
      <w:pPr>
        <w:ind w:left="1440" w:hanging="360"/>
      </w:pPr>
    </w:lvl>
    <w:lvl w:ilvl="2" w:tplc="17365897" w:tentative="1">
      <w:start w:val="1"/>
      <w:numFmt w:val="lowerRoman"/>
      <w:lvlText w:val="%3."/>
      <w:lvlJc w:val="right"/>
      <w:pPr>
        <w:ind w:left="2160" w:hanging="180"/>
      </w:pPr>
    </w:lvl>
    <w:lvl w:ilvl="3" w:tplc="17365897" w:tentative="1">
      <w:start w:val="1"/>
      <w:numFmt w:val="decimal"/>
      <w:lvlText w:val="%4."/>
      <w:lvlJc w:val="left"/>
      <w:pPr>
        <w:ind w:left="2880" w:hanging="360"/>
      </w:pPr>
    </w:lvl>
    <w:lvl w:ilvl="4" w:tplc="17365897" w:tentative="1">
      <w:start w:val="1"/>
      <w:numFmt w:val="lowerLetter"/>
      <w:lvlText w:val="%5."/>
      <w:lvlJc w:val="left"/>
      <w:pPr>
        <w:ind w:left="3600" w:hanging="360"/>
      </w:pPr>
    </w:lvl>
    <w:lvl w:ilvl="5" w:tplc="17365897" w:tentative="1">
      <w:start w:val="1"/>
      <w:numFmt w:val="lowerRoman"/>
      <w:lvlText w:val="%6."/>
      <w:lvlJc w:val="right"/>
      <w:pPr>
        <w:ind w:left="4320" w:hanging="180"/>
      </w:pPr>
    </w:lvl>
    <w:lvl w:ilvl="6" w:tplc="17365897" w:tentative="1">
      <w:start w:val="1"/>
      <w:numFmt w:val="decimal"/>
      <w:lvlText w:val="%7."/>
      <w:lvlJc w:val="left"/>
      <w:pPr>
        <w:ind w:left="5040" w:hanging="360"/>
      </w:pPr>
    </w:lvl>
    <w:lvl w:ilvl="7" w:tplc="17365897" w:tentative="1">
      <w:start w:val="1"/>
      <w:numFmt w:val="lowerLetter"/>
      <w:lvlText w:val="%8."/>
      <w:lvlJc w:val="left"/>
      <w:pPr>
        <w:ind w:left="5760" w:hanging="360"/>
      </w:pPr>
    </w:lvl>
    <w:lvl w:ilvl="8" w:tplc="17365897" w:tentative="1">
      <w:start w:val="1"/>
      <w:numFmt w:val="lowerRoman"/>
      <w:lvlText w:val="%9."/>
      <w:lvlJc w:val="right"/>
      <w:pPr>
        <w:ind w:left="6480" w:hanging="180"/>
      </w:pPr>
    </w:lvl>
  </w:abstractNum>
  <w:abstractNum w:abstractNumId="23564">
    <w:multiLevelType w:val="hybridMultilevel"/>
    <w:lvl w:ilvl="0" w:tplc="6470171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3564">
    <w:abstractNumId w:val="23564"/>
  </w:num>
  <w:num w:numId="23565">
    <w:abstractNumId w:val="2356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43639980" Type="http://schemas.openxmlformats.org/officeDocument/2006/relationships/comments" Target="comments.xml"/><Relationship Id="rId999202379" Type="http://schemas.microsoft.com/office/2011/relationships/commentsExtended" Target="commentsExtended.xml"/><Relationship Id="rId15546217" Type="http://schemas.openxmlformats.org/officeDocument/2006/relationships/image" Target="media/imgrId15546217.jpg"/><Relationship Id="rId5200680f800792b05" Type="http://schemas.openxmlformats.org/officeDocument/2006/relationships/image" Target="media/imgrId5200680f800792b05.jpg"/><Relationship Id="rId4191680f8007b7008" Type="http://schemas.openxmlformats.org/officeDocument/2006/relationships/image" Target="media/imgrId4191680f8007b7008.jpg"/><Relationship Id="rId8093680f8007c8971" Type="http://schemas.openxmlformats.org/officeDocument/2006/relationships/image" Target="media/imgrId8093680f8007c8971.jpg"/><Relationship Id="rId3145680f8007cdd59" Type="http://schemas.openxmlformats.org/officeDocument/2006/relationships/image" Target="media/imgrId3145680f8007cdd59.jpg"/><Relationship Id="rId8997680f8007d3862" Type="http://schemas.openxmlformats.org/officeDocument/2006/relationships/image" Target="media/imgrId8997680f8007d3862.jpg"/><Relationship Id="rId3639680f8007e09ce" Type="http://schemas.openxmlformats.org/officeDocument/2006/relationships/image" Target="media/imgrId3639680f8007e09ce.png"/><Relationship Id="rId6595680f8007ea0d9" Type="http://schemas.openxmlformats.org/officeDocument/2006/relationships/image" Target="media/imgrId6595680f8007ea0d9.png"/><Relationship Id="rId9997680f8008073d4" Type="http://schemas.openxmlformats.org/officeDocument/2006/relationships/image" Target="media/imgrId9997680f8008073d4.png"/><Relationship Id="rId9900680f8008160ae" Type="http://schemas.openxmlformats.org/officeDocument/2006/relationships/image" Target="media/imgrId9900680f8008160ae.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5546217" Type="http://schemas.openxmlformats.org/officeDocument/2006/relationships/image" Target="media/imgrId1554621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5546217" Type="http://schemas.openxmlformats.org/officeDocument/2006/relationships/image" Target="media/imgrId1554621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5546217" Type="http://schemas.openxmlformats.org/officeDocument/2006/relationships/image" Target="media/imgrId1554621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5546217" Type="http://schemas.openxmlformats.org/officeDocument/2006/relationships/image" Target="media/imgrId1554621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5546217" Type="http://schemas.openxmlformats.org/officeDocument/2006/relationships/image" Target="media/imgrId1554621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5546217" Type="http://schemas.openxmlformats.org/officeDocument/2006/relationships/image" Target="media/imgrId1554621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