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309106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275214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791222" w:name="ctxt"/>
    <w:bookmarkEnd w:id="4791222"/>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Before start-up</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233"/>
              </w:numPr>
              <w:spacing w:before="0" w:after="0" w:line="262" w:lineRule="auto"/>
              <w:jc w:val="left"/>
              <w:rPr>
                <w:color w:val="00274C"/>
                <w:sz w:val="20"/>
                <w:szCs w:val="20"/>
              </w:rPr>
            </w:pPr>
            <w:r>
              <w:rPr>
                <w:color w:val="00274C"/>
                <w:position w:val="-2"/>
                <w:sz w:val="20"/>
                <w:szCs w:val="20"/>
                <w:u w:val="none"/>
              </w:rPr>
              <w:t xml:space="preserve">Read the manual carefully and carry out the operations described below in compliance with the instructions specified.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Periodic inspection and maintenance operations must be carried out as indicated in this manual and under the user's responsibility.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5415698" name="name873268126ecb603d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5268126ecb603c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Only use original spare parts and accessories.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use of non-original parts, as well as voiding the warranty, affects the life and performance of the engine, and may be dangerous.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Non compliance with the operations described in the following pages may result damage to the engine and vehicle on which it is installed, as well as to people and/or property. </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precautions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233"/>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823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 </w:t>
            </w:r>
            <w:hyperlink r:id="rId822968126ecb61f53" w:history="1">
              <w:r>
                <w:rPr>
                  <w:rStyle w:val="DefaultParagraphFontPHPDOCX"/>
                  <w:b/>
                  <w:bCs/>
                  <w:color w:val="0000FF"/>
                  <w:position w:val="-2"/>
                  <w:sz w:val="20"/>
                  <w:szCs w:val="20"/>
                  <w:u w:val="none"/>
                </w:rPr>
                <w:t xml:space="preserve">(Par 3.4.3)</w:t>
              </w:r>
            </w:hyperlink>
            <w:r>
              <w:rPr>
                <w:color w:val="00274C"/>
                <w:position w:val="-2"/>
                <w:sz w:val="20"/>
                <w:szCs w:val="20"/>
                <w:u w:val="none"/>
              </w:rPr>
              <w:t xml:space="preserve"> </w:t>
            </w:r>
            <w:r>
              <w:rPr>
                <w:b/>
                <w:bCs/>
                <w:color w:val="00274C"/>
                <w:position w:val="-2"/>
                <w:sz w:val="20"/>
                <w:szCs w:val="20"/>
                <w:u w:val="none"/>
              </w:rPr>
              <w:t xml:space="preserve">.</w:t>
            </w:r>
          </w:p>
          <w:p>
            <w:pPr>
              <w:numPr>
                <w:ilvl w:val="0"/>
                <w:numId w:val="2823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28233"/>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cannot consider every reasonably unforeseeable misuse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3.3.1 Note for OEM</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When installing the </w:t>
            </w:r>
            <w:r>
              <w:rPr>
                <w:b/>
                <w:bCs/>
                <w:color w:val="00274C"/>
                <w:position w:val="-2"/>
                <w:sz w:val="20"/>
                <w:szCs w:val="20"/>
                <w:u w:val="none"/>
              </w:rPr>
              <w:t xml:space="preserve">KDI</w:t>
            </w:r>
            <w:r>
              <w:rPr>
                <w:color w:val="00274C"/>
                <w:position w:val="-2"/>
                <w:sz w:val="20"/>
                <w:szCs w:val="20"/>
                <w:u w:val="none"/>
              </w:rPr>
              <w:t xml:space="preserve"> engines, always bear in mind that any variation to the functional systems may involve serious failures to the engine.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Any improvement must be verified at </w:t>
            </w:r>
            <w:r>
              <w:rPr>
                <w:b/>
                <w:bCs/>
                <w:color w:val="00274C"/>
                <w:position w:val="-2"/>
                <w:sz w:val="20"/>
                <w:szCs w:val="20"/>
                <w:u w:val="none"/>
              </w:rPr>
              <w:t xml:space="preserve">KOHLER</w:t>
            </w:r>
            <w:r>
              <w:rPr>
                <w:color w:val="00274C"/>
                <w:position w:val="-2"/>
                <w:sz w:val="20"/>
                <w:szCs w:val="20"/>
                <w:u w:val="none"/>
              </w:rPr>
              <w:t xml:space="preserve"> testing laboratories before application of the engine.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In the event KOHLER does not approve the type of modification, </w:t>
            </w:r>
            <w:r>
              <w:rPr>
                <w:b/>
                <w:bCs/>
                <w:color w:val="00274C"/>
                <w:position w:val="-2"/>
                <w:sz w:val="20"/>
                <w:szCs w:val="20"/>
                <w:u w:val="none"/>
              </w:rPr>
              <w:t xml:space="preserve">KOHLER</w:t>
            </w:r>
            <w:r>
              <w:rPr>
                <w:color w:val="00274C"/>
                <w:position w:val="-2"/>
                <w:sz w:val="20"/>
                <w:szCs w:val="20"/>
                <w:u w:val="none"/>
              </w:rPr>
              <w:t xml:space="preserve"> shall not be held responsible for any consequential operation anomalies that the engine may undergo and any damage the engine may cause to persons and things.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widowControl w:val="on"/>
              <w:pBdr/>
              <w:spacing w:before="0" w:after="0" w:line="262" w:lineRule="auto"/>
              <w:ind w:left="0" w:right="0"/>
              <w:jc w:val="left"/>
              <w:textAlignment w:val="center"/>
            </w:pPr>
            <w:r>
              <w:rPr>
                <w:b/>
                <w:bCs/>
                <w:color w:val="00274C"/>
                <w:position w:val="-2"/>
                <w:sz w:val="20"/>
                <w:szCs w:val="20"/>
                <w:u w:val="none"/>
              </w:rPr>
              <w:br/>
              <w:t xml:space="preserve">3.3.2 Note for end user</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On starting, make sure that the engine is as horizontal as possible, unless the machine specifications differ.</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Make sure that the machine is stable to prevent the risk of overturning.</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To prevent fire hazards, always keep the machine at least one meter from buildings or from other machinery.</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Children and animals must be kept at a due distance from operating machines in order to prevent hazards deriving from their operation.</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Make sure that no soundproofing panels and the ground or floor on which the machine is standing have not soaked up any fuel.</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engine may only be assembled on a machine by personnel specifically trained by </w:t>
            </w:r>
            <w:r>
              <w:rPr>
                <w:b/>
                <w:bCs/>
                <w:color w:val="00274C"/>
                <w:position w:val="-2"/>
                <w:sz w:val="20"/>
                <w:szCs w:val="20"/>
                <w:u w:val="none"/>
              </w:rPr>
              <w:t xml:space="preserve">KOHLER</w:t>
            </w:r>
            <w:r>
              <w:rPr>
                <w:color w:val="00274C"/>
                <w:position w:val="-2"/>
                <w:sz w:val="20"/>
                <w:szCs w:val="20"/>
                <w:u w:val="none"/>
              </w:rPr>
              <w:t xml:space="preserve"> and who work in compliance with the existing documentation.</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engine has been built to the specifications of a machine manufacturer, and it is his responsibility to ensure that all necessary action is taken to meet the essential and legally prescribed health and safety requirements. 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 which therefore declines all responsibility for accidents</w:t>
            </w:r>
            <w:r>
              <w:rPr>
                <w:color w:val="00274C"/>
                <w:position w:val="-2"/>
                <w:sz w:val="20"/>
                <w:szCs w:val="20"/>
                <w:u w:val="none"/>
              </w:rPr>
              <w:br/>
              <w:t xml:space="preserve">caused by such operations.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Fuel vapour is highly toxic. Only refuel outdoors or in a well ventilated place.</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Do not smoke or use open flames when refuelling.</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During operation, the surface of the engine can become dangerously hot. Avoid touching the exhaust system in particular.</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Before proceeding with any operation on the engine, stop it and allow it to cool.</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Always open the radiator plug or expansion chamber with the utmost caution, wearing protective garments and goggles.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coolant fluid is under pressure. Never carry out any inspections until the engine has cooled.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If there is an electric fan, do not approach the engine when it is still hot as the fan could also start operating when the engine is at a standstill.</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Check belt tension only when the engine is off.</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Fully tighten the tank cap each time after refuelling. Do not fill the tank right to the top but leave an adequate space for the fuel to expand.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Before starting, remove any tools that were used to service the engine and/or machine. Make sure that all guards have been refitted.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Pay attention to the temperature of the oil filter when the filter itself is replaced.</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Do not use jets of air and water at high pressure on the cables, connectors and electronic injectors.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For engines equipped with ATS device, it is necessary to inhibit regeneration if using the engine in environments featuring risk of fire (e.g.: woods, areas containing flammable materials, areas containing flammable gas or liquids and any type of combustible material - if this function is available).</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4828408" name="name386568126ecb8de3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0968126ecb8de3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Only use the eyebolts </w:t>
            </w:r>
            <w:r>
              <w:rPr>
                <w:b/>
                <w:bCs/>
                <w:color w:val="00274C"/>
                <w:position w:val="-2"/>
                <w:sz w:val="20"/>
                <w:szCs w:val="20"/>
                <w:u w:val="none"/>
              </w:rPr>
              <w:t xml:space="preserve">A</w:t>
            </w:r>
            <w:r>
              <w:rPr>
                <w:color w:val="00274C"/>
                <w:position w:val="-2"/>
                <w:sz w:val="20"/>
                <w:szCs w:val="20"/>
                <w:u w:val="none"/>
              </w:rPr>
              <w:t xml:space="preserve"> installed by </w:t>
            </w:r>
            <w:r>
              <w:rPr>
                <w:b/>
                <w:bCs/>
                <w:color w:val="00274C"/>
                <w:position w:val="-2"/>
                <w:sz w:val="20"/>
                <w:szCs w:val="20"/>
                <w:u w:val="none"/>
              </w:rPr>
              <w:t xml:space="preserve">KOHLER</w:t>
            </w:r>
            <w:r>
              <w:rPr>
                <w:color w:val="00274C"/>
                <w:position w:val="-2"/>
                <w:sz w:val="20"/>
                <w:szCs w:val="20"/>
                <w:u w:val="none"/>
              </w:rPr>
              <w:t xml:space="preserve"> to move the engine </w:t>
            </w:r>
            <w:r>
              <w:rPr>
                <w:b/>
                <w:bCs/>
                <w:color w:val="00274C"/>
                <w:position w:val="-2"/>
                <w:sz w:val="20"/>
                <w:szCs w:val="20"/>
                <w:u w:val="none"/>
              </w:rPr>
              <w:t xml:space="preserve">(Fig. 3.1).</w:t>
            </w:r>
          </w:p>
          <w:p>
            <w:pPr>
              <w:numPr>
                <w:ilvl w:val="0"/>
                <w:numId w:val="28233"/>
              </w:numPr>
              <w:spacing w:before="0" w:after="0" w:line="262" w:lineRule="auto"/>
              <w:jc w:val="left"/>
              <w:rPr>
                <w:color w:val="00274C"/>
                <w:sz w:val="20"/>
                <w:szCs w:val="20"/>
              </w:rPr>
            </w:pPr>
            <w:r>
              <w:rPr>
                <w:color w:val="00274C"/>
                <w:position w:val="-2"/>
                <w:sz w:val="20"/>
                <w:szCs w:val="20"/>
                <w:u w:val="none"/>
              </w:rPr>
              <w:br/>
              <w:t xml:space="preserve">The angle between each lifting chain and the eyebolts shall not exceed 15° inwards.</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The correct tightening of the lifting brace capscrews is </w:t>
            </w:r>
            <w:r>
              <w:rPr>
                <w:b/>
                <w:bCs/>
                <w:color w:val="00274C"/>
                <w:position w:val="-2"/>
                <w:sz w:val="20"/>
                <w:szCs w:val="20"/>
                <w:u w:val="none"/>
              </w:rPr>
              <w:t xml:space="preserve">25 Nm</w:t>
            </w:r>
            <w:r>
              <w:rPr>
                <w:color w:val="00274C"/>
                <w:position w:val="-2"/>
                <w:sz w:val="20"/>
                <w:szCs w:val="20"/>
                <w:u w:val="none"/>
              </w:rPr>
              <w:t xml:space="preserve"> .</w:t>
            </w:r>
          </w:p>
          <w:p>
            <w:pPr>
              <w:numPr>
                <w:ilvl w:val="0"/>
                <w:numId w:val="28233"/>
              </w:numPr>
              <w:spacing w:before="0" w:after="0" w:line="262" w:lineRule="auto"/>
              <w:jc w:val="left"/>
              <w:rPr>
                <w:color w:val="00274C"/>
                <w:sz w:val="20"/>
                <w:szCs w:val="20"/>
              </w:rPr>
            </w:pPr>
            <w:r>
              <w:rPr>
                <w:color w:val="00274C"/>
                <w:position w:val="-2"/>
                <w:sz w:val="20"/>
                <w:szCs w:val="20"/>
                <w:u w:val="none"/>
              </w:rPr>
              <w:t xml:space="preserve">Do not interpose spacers or washers between the eyebolts and engine head.</w:t>
            </w:r>
          </w:p>
          <w:p>
            <w:pPr>
              <w:widowControl w:val="on"/>
              <w:pBdr/>
              <w:spacing w:before="0" w:after="0" w:line="262" w:lineRule="auto"/>
              <w:ind w:left="0" w:right="0"/>
              <w:jc w:val="left"/>
              <w:textAlignment w:val="center"/>
            </w:pPr>
            <w:r>
              <w:rPr>
                <w:position w:val="-235"/>
              </w:rPr>
              <w:drawing>
                <wp:inline distT="0" distB="0" distL="0" distR="0">
                  <wp:extent cx="4752000" cy="2995200"/>
                  <wp:effectExtent b="0" l="0" r="0" t="0"/>
                  <wp:docPr id="46844359" name="name818668126ecb9a1fc"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463568126ecb9a1f8" cstate="print"/>
                          <a:stretch>
                            <a:fillRect/>
                          </a:stretch>
                        </pic:blipFill>
                        <pic:spPr>
                          <a:xfrm>
                            <a:off x="0" y="0"/>
                            <a:ext cx="4752000" cy="2995200"/>
                          </a:xfrm>
                          <a:prstGeom prst="rect">
                            <a:avLst/>
                          </a:prstGeom>
                          <a:ln w="0">
                            <a:noFill/>
                          </a:ln>
                        </pic:spPr>
                      </pic:pic>
                    </a:graphicData>
                  </a:graphic>
                </wp:inline>
              </w:drawing>
            </w:r>
            <w:r>
              <w:rPr>
                <w:b/>
                <w:bCs/>
                <w:color w:val="00274C"/>
                <w:position w:val="-2"/>
                <w:sz w:val="20"/>
                <w:szCs w:val="20"/>
                <w:u w:val="none"/>
              </w:rPr>
              <w:br/>
              <w:br/>
              <w:t xml:space="preserve">Fig 3.1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p>
      <w:pPr>
        <w:numPr>
          <w:ilvl w:val="0"/>
          <w:numId w:val="28233"/>
        </w:numPr>
        <w:spacing w:before="0" w:after="0" w:line="240" w:lineRule="auto"/>
        <w:jc w:val="left"/>
        <w:rPr>
          <w:color w:val="00274C"/>
          <w:sz w:val="20"/>
          <w:szCs w:val="20"/>
        </w:rPr>
      </w:pPr>
      <w:r>
        <w:rPr>
          <w:color w:val="00274C"/>
          <w:sz w:val="20"/>
          <w:szCs w:val="20"/>
          <w:u w:val="none"/>
        </w:rPr>
        <w:t xml:space="preserve">To ensure safe operation please read the following statements and understand their meaning.</w:t>
      </w:r>
    </w:p>
    <w:p>
      <w:pPr>
        <w:numPr>
          <w:ilvl w:val="0"/>
          <w:numId w:val="28233"/>
        </w:numPr>
        <w:spacing w:before="0" w:after="0" w:line="240" w:lineRule="auto"/>
        <w:jc w:val="left"/>
        <w:rPr>
          <w:color w:val="00274C"/>
          <w:sz w:val="20"/>
          <w:szCs w:val="20"/>
        </w:rPr>
      </w:pPr>
      <w:r>
        <w:rPr>
          <w:color w:val="00274C"/>
          <w:sz w:val="20"/>
          <w:szCs w:val="20"/>
          <w:u w:val="none"/>
        </w:rPr>
        <w:t xml:space="preserve">Also refer to your equipment manufacturer's manual for other important safety information.</w:t>
      </w:r>
    </w:p>
    <w:p>
      <w:pPr>
        <w:numPr>
          <w:ilvl w:val="0"/>
          <w:numId w:val="28233"/>
        </w:numPr>
        <w:spacing w:before="0" w:after="0" w:line="240" w:lineRule="auto"/>
        <w:jc w:val="left"/>
        <w:rPr>
          <w:color w:val="00274C"/>
          <w:sz w:val="20"/>
          <w:szCs w:val="20"/>
        </w:rPr>
      </w:pPr>
      <w:r>
        <w:rPr>
          <w:color w:val="00274C"/>
          <w:sz w:val="20"/>
          <w:szCs w:val="20"/>
          <w:u w:val="none"/>
        </w:rPr>
        <w:t xml:space="preserve">This manual contains safety precautions which are explained below.</w:t>
      </w:r>
    </w:p>
    <w:p>
      <w:pPr>
        <w:numPr>
          <w:ilvl w:val="0"/>
          <w:numId w:val="28233"/>
        </w:numPr>
        <w:spacing w:before="0" w:after="0" w:line="240" w:lineRule="auto"/>
        <w:jc w:val="left"/>
        <w:rPr>
          <w:color w:val="00274C"/>
          <w:sz w:val="20"/>
          <w:szCs w:val="20"/>
        </w:rPr>
      </w:pPr>
      <w:r>
        <w:rPr>
          <w:color w:val="00274C"/>
          <w:sz w:val="20"/>
          <w:szCs w:val="20"/>
          <w:u w:val="none"/>
        </w:rPr>
        <w:t xml:space="preserve">Please read them carefully.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3.4.1 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22350995" name="name683868126ecba11d9"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438368126ecba11d5"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15183875" name="name690168126ecba64d9"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309568126ecba64d4"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Mar>
              <w:top w:w="150" w:type="dxa"/>
              <w:left w:w="150" w:type="dxa"/>
              <w:bottom w:w="150" w:type="dxa"/>
              <w:right w:w="150" w:type="dxa"/>
            </w:tcMar>
            <w:vAlign w:val="center"/>
          </w:tcPr>
          <w:p>
            <w:r>
              <w:rPr>
                <w:position w:val="-52"/>
              </w:rPr>
              <w:drawing>
                <wp:inline distT="0" distB="0" distL="0" distR="0">
                  <wp:extent cx="360000" cy="727200"/>
                  <wp:effectExtent b="0" l="0" r="0" t="0"/>
                  <wp:docPr id="56542725" name="name996768126ecbaee5d"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615668126ecbaee59"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Mar>
              <w:top w:w="150" w:type="dxa"/>
              <w:left w:w="150" w:type="dxa"/>
              <w:bottom w:w="150" w:type="dxa"/>
              <w:right w:w="150" w:type="dxa"/>
            </w:tcMar>
            <w:vAlign w:val="center"/>
          </w:tcPr>
          <w:p>
            <w:r>
              <w:rPr>
                <w:position w:val="-51"/>
              </w:rPr>
              <w:drawing>
                <wp:inline distT="0" distB="0" distL="0" distR="0">
                  <wp:extent cx="360000" cy="720000"/>
                  <wp:effectExtent b="0" l="0" r="0" t="0"/>
                  <wp:docPr id="16060756" name="name661568126ecbb474f"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140268126ecbb474b" cstate="print"/>
                          <a:stretch>
                            <a:fillRect/>
                          </a:stretch>
                        </pic:blipFill>
                        <pic:spPr>
                          <a:xfrm>
                            <a:off x="0" y="0"/>
                            <a:ext cx="360000" cy="72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2743626" name="name845368126ecbb9d5c"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617668126ecbb9d58" cstate="print"/>
                          <a:stretch>
                            <a:fillRect/>
                          </a:stretch>
                        </pic:blipFill>
                        <pic:spPr>
                          <a:xfrm>
                            <a:off x="0" y="0"/>
                            <a:ext cx="360000" cy="7272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3.4.2 </w:t>
            </w:r>
            <w:r>
              <w:rPr>
                <w:color w:val="00274C"/>
                <w:position w:val="-2"/>
                <w:sz w:val="20"/>
                <w:szCs w:val="20"/>
                <w:u w:val="none"/>
              </w:rPr>
              <w:t xml:space="preserve"> </w:t>
            </w: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28429927" name="name320268126ecbc0a65"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384668126ecbc0a61"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10995914" name="name210368126ecbc85f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60768126ecbc85ed"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shd w:val="clear" w:color="auto" w:fill="FFFFFF"/>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Mar>
              <w:top w:w="150" w:type="dxa"/>
              <w:left w:w="150" w:type="dxa"/>
              <w:bottom w:w="150" w:type="dxa"/>
              <w:right w:w="150" w:type="dxa"/>
            </w:tcMar>
            <w:vAlign w:val="center"/>
          </w:tcPr>
          <w:p>
            <w:r>
              <w:rPr>
                <w:position w:val="-20"/>
              </w:rPr>
              <w:drawing>
                <wp:inline distT="0" distB="0" distL="0" distR="0">
                  <wp:extent cx="324000" cy="324000"/>
                  <wp:effectExtent b="0" l="0" r="0" t="0"/>
                  <wp:docPr id="83004739" name="name143368126ecbcff7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72568126ecbcff72" cstate="print"/>
                          <a:stretch>
                            <a:fillRect/>
                          </a:stretch>
                        </pic:blipFill>
                        <pic:spPr>
                          <a:xfrm>
                            <a:off x="0" y="0"/>
                            <a:ext cx="324000" cy="324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3.4.3 </w:t>
            </w:r>
            <w:r>
              <w:rPr>
                <w:color w:val="00274C"/>
                <w:position w:val="-2"/>
                <w:sz w:val="20"/>
                <w:szCs w:val="20"/>
                <w:u w:val="none"/>
              </w:rPr>
              <w:t xml:space="preserve"> </w:t>
            </w: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52800"/>
                  <wp:effectExtent b="0" l="0" r="0" t="0"/>
                  <wp:docPr id="9167630" name="name630068126ecbd5698"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234968126ecbd5694" cstate="print"/>
                          <a:stretch>
                            <a:fillRect/>
                          </a:stretch>
                        </pic:blipFill>
                        <pic:spPr>
                          <a:xfrm>
                            <a:off x="0" y="0"/>
                            <a:ext cx="360000" cy="3528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4"/>
              </w:rPr>
              <w:drawing>
                <wp:inline distT="0" distB="0" distL="0" distR="0">
                  <wp:extent cx="360000" cy="381600"/>
                  <wp:effectExtent b="0" l="0" r="0" t="0"/>
                  <wp:docPr id="23458169" name="name166368126ecbda801"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13368126ecbda7fd" cstate="print"/>
                          <a:stretch>
                            <a:fillRect/>
                          </a:stretch>
                        </pic:blipFill>
                        <pic:spPr>
                          <a:xfrm>
                            <a:off x="0" y="0"/>
                            <a:ext cx="360000" cy="3816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Mar>
              <w:top w:w="150" w:type="dxa"/>
              <w:left w:w="150" w:type="dxa"/>
              <w:bottom w:w="150" w:type="dxa"/>
              <w:right w:w="150" w:type="dxa"/>
            </w:tcMar>
            <w:vAlign w:val="center"/>
          </w:tcPr>
          <w:p>
            <w:r>
              <w:rPr>
                <w:position w:val="-22"/>
              </w:rPr>
              <w:drawing>
                <wp:inline distT="0" distB="0" distL="0" distR="0">
                  <wp:extent cx="360000" cy="360000"/>
                  <wp:effectExtent b="0" l="0" r="0" t="0"/>
                  <wp:docPr id="60689864" name="name282268126ecbdf775"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651368126ecbdf772" cstate="print"/>
                          <a:stretch>
                            <a:fillRect/>
                          </a:stretch>
                        </pic:blipFill>
                        <pic:spPr>
                          <a:xfrm>
                            <a:off x="0" y="0"/>
                            <a:ext cx="360000" cy="360000"/>
                          </a:xfrm>
                          <a:prstGeom prst="rect">
                            <a:avLst/>
                          </a:prstGeom>
                          <a:ln w="0">
                            <a:noFill/>
                          </a:ln>
                        </pic:spPr>
                      </pic:pic>
                    </a:graphicData>
                  </a:graphic>
                </wp:inline>
              </w:drawing>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1685575" name="name933768126ecbeb0f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77468126ecbeb0f8"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9102274" name="name427368126ecbefb22"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759768126ecbefb1e"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36717551" name="name517768126ecc0033b"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127568126ecc00337"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45575796" name="name899968126ecc08436"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353168126ecc08432"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8405264" name="name347168126ecc0d4bb"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09768126ecc0d4b7"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4071379" name="name130568126ecc123a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879068126ecc1239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3150964" name="name937268126ecc176e2"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47968126ecc176d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6220614" name="name784768126ecc1c2ae"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419468126ecc1c2a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 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66672939" name="name540868126ecc211cd"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91368126ecc211c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4657992" name="name186668126ecc26dcc"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221268126ecc26dc9"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9250021" name="name743568126ecc2e5e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16468126ecc2e5ea"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3337322" name="name990268126ecc333c7"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759168126ecc333c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5171609" name="name842668126ecc37f7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68468126ecc37f7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3786561" name="name541368126ecc3da6f"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937568126ecc3da6b"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Work on the injection system must be carried out by suitably trained staff wearing protection equipment. Injuries caused by fluid penetration are highly toxic and dangerous.</w:t>
                  </w:r>
                  <w:r>
                    <w:rPr>
                      <w:b/>
                      <w:bCs/>
                      <w:color w:val="00274C"/>
                      <w:position w:val="-2"/>
                      <w:sz w:val="20"/>
                      <w:szCs w:val="20"/>
                      <w:u w:val="none"/>
                    </w:rPr>
                    <w:b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7710057" name="name102368126ecc45204"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74168126ecc4520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88741102" name="name825968126ecc49ec2"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154268126ecc49eb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Fuel is flammable and its vapours can ignite. Store fuel only in approved containers, in well ventilated,</w:t>
                  </w:r>
                  <w:r>
                    <w:rPr>
                      <w:color w:val="00274C"/>
                      <w:position w:val="-2"/>
                      <w:sz w:val="20"/>
                      <w:szCs w:val="20"/>
                      <w:u w:val="none"/>
                    </w:rPr>
                    <w:br/>
                    <w:t xml:space="preserve">unoccupied buildings. Do not fill the fuel tank while the engine is hot or running, since spilled fuel could ignite if it comes in contact with hot parts or sparks from ignition. Do not start the engine near spilled fuel. 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1882254" name="name289168126ecc509fa"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56268126ecc509f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52789" name="name681368126ecc55661"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303068126ecc5565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Keep batteries out of the reach of children. Remove all jewelry when servicing batteries. Before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disconnecting the negative (-) ground cable, make sure all switches are OFF. 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7248595" name="name943468126ecc5a70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96268126ecc5a70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p>
      <w:pPr>
        <w:widowControl w:val="on"/>
        <w:pBdr/>
        <w:spacing w:before="0" w:after="0" w:line="262" w:lineRule="auto"/>
        <w:ind w:left="0" w:right="0"/>
        <w:jc w:val="left"/>
      </w:pPr>
      <w:r>
        <w:rPr>
          <w:color w:val="00274C"/>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 - Disposal of liquids.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Waste management.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Soil contamination.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Atmospheric emissions.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Use of raw materials and natural resources.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Regulations and directives regarding environmental impact.
</w:t>
      </w:r>
    </w:p>
    <w:p>
      <w:pPr>
        <w:widowControl w:val="on"/>
        <w:pBdr/>
        <w:spacing w:before="0" w:after="0" w:line="262" w:lineRule="auto"/>
        <w:ind w:left="0" w:right="0"/>
        <w:jc w:val="left"/>
      </w:pPr>
      <w:r>
        <w:rPr>
          <w:color w:val="00274C"/>
          <w:sz w:val="20"/>
          <w:szCs w:val="20"/>
          <w:u w:val="none"/>
        </w:rPr>
        <w:br/>
        <w:t xml:space="preserve">In order to minimise the impact on the environment, </w:t>
      </w:r>
      <w:r>
        <w:rPr>
          <w:b/>
          <w:bCs/>
          <w:color w:val="00274C"/>
          <w:sz w:val="20"/>
          <w:szCs w:val="20"/>
          <w:u w:val="none"/>
        </w:rPr>
        <w:t xml:space="preserve">KOHLER</w:t>
      </w:r>
      <w:r>
        <w:rPr>
          <w:color w:val="00274C"/>
          <w:sz w:val="20"/>
          <w:szCs w:val="20"/>
          <w:u w:val="none"/>
        </w:rPr>
        <w:t xml:space="preserve"> provides some indications to be followed by all those handling the engine, for any reason, during its expected lifetime. - All components and fluids must be disposed of in accordance with the laws of the country in which disposal is taking place.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Keep the injection system as well as engine management and exhaust pipes in efficient working order to limit environmental and noise pollution.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When decommissioning the engine, select all components according to their chemical characteristics and dispose of them separately.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signals on engine</w:t>
      </w:r>
    </w:p>
    <w:p>
      <w:pPr>
        <w:widowControl w:val="on"/>
        <w:pBdr/>
        <w:spacing w:before="225" w:after="225" w:line="262" w:lineRule="auto"/>
        <w:ind w:left="0" w:right="0"/>
        <w:jc w:val="left"/>
      </w:pPr>
      <w:r>
        <w:drawing>
          <wp:inline distT="0" distB="0" distL="0" distR="0">
            <wp:extent cx="5544000" cy="3261600"/>
            <wp:effectExtent b="0" l="0" r="0" t="0"/>
            <wp:docPr id="32013201" name="name389868126ecc6b7db" descr="19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png"/>
                    <pic:cNvPicPr/>
                  </pic:nvPicPr>
                  <pic:blipFill>
                    <a:blip r:embed="rId464968126ecc6b7d7" cstate="print"/>
                    <a:stretch>
                      <a:fillRect/>
                    </a:stretch>
                  </pic:blipFill>
                  <pic:spPr>
                    <a:xfrm>
                      <a:off x="0" y="0"/>
                      <a:ext cx="5544000" cy="32616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234">
    <w:multiLevelType w:val="hybridMultilevel"/>
    <w:lvl w:ilvl="0" w:tplc="52556708">
      <w:start w:val="1"/>
      <w:numFmt w:val="decimal"/>
      <w:lvlText w:val="%1."/>
      <w:lvlJc w:val="left"/>
      <w:pPr>
        <w:ind w:left="720" w:hanging="360"/>
      </w:pPr>
    </w:lvl>
    <w:lvl w:ilvl="1" w:tplc="52556708" w:tentative="1">
      <w:start w:val="1"/>
      <w:numFmt w:val="lowerLetter"/>
      <w:lvlText w:val="%2."/>
      <w:lvlJc w:val="left"/>
      <w:pPr>
        <w:ind w:left="1440" w:hanging="360"/>
      </w:pPr>
    </w:lvl>
    <w:lvl w:ilvl="2" w:tplc="52556708" w:tentative="1">
      <w:start w:val="1"/>
      <w:numFmt w:val="lowerRoman"/>
      <w:lvlText w:val="%3."/>
      <w:lvlJc w:val="right"/>
      <w:pPr>
        <w:ind w:left="2160" w:hanging="180"/>
      </w:pPr>
    </w:lvl>
    <w:lvl w:ilvl="3" w:tplc="52556708" w:tentative="1">
      <w:start w:val="1"/>
      <w:numFmt w:val="decimal"/>
      <w:lvlText w:val="%4."/>
      <w:lvlJc w:val="left"/>
      <w:pPr>
        <w:ind w:left="2880" w:hanging="360"/>
      </w:pPr>
    </w:lvl>
    <w:lvl w:ilvl="4" w:tplc="52556708" w:tentative="1">
      <w:start w:val="1"/>
      <w:numFmt w:val="lowerLetter"/>
      <w:lvlText w:val="%5."/>
      <w:lvlJc w:val="left"/>
      <w:pPr>
        <w:ind w:left="3600" w:hanging="360"/>
      </w:pPr>
    </w:lvl>
    <w:lvl w:ilvl="5" w:tplc="52556708" w:tentative="1">
      <w:start w:val="1"/>
      <w:numFmt w:val="lowerRoman"/>
      <w:lvlText w:val="%6."/>
      <w:lvlJc w:val="right"/>
      <w:pPr>
        <w:ind w:left="4320" w:hanging="180"/>
      </w:pPr>
    </w:lvl>
    <w:lvl w:ilvl="6" w:tplc="52556708" w:tentative="1">
      <w:start w:val="1"/>
      <w:numFmt w:val="decimal"/>
      <w:lvlText w:val="%7."/>
      <w:lvlJc w:val="left"/>
      <w:pPr>
        <w:ind w:left="5040" w:hanging="360"/>
      </w:pPr>
    </w:lvl>
    <w:lvl w:ilvl="7" w:tplc="52556708" w:tentative="1">
      <w:start w:val="1"/>
      <w:numFmt w:val="lowerLetter"/>
      <w:lvlText w:val="%8."/>
      <w:lvlJc w:val="left"/>
      <w:pPr>
        <w:ind w:left="5760" w:hanging="360"/>
      </w:pPr>
    </w:lvl>
    <w:lvl w:ilvl="8" w:tplc="52556708" w:tentative="1">
      <w:start w:val="1"/>
      <w:numFmt w:val="lowerRoman"/>
      <w:lvlText w:val="%9."/>
      <w:lvlJc w:val="right"/>
      <w:pPr>
        <w:ind w:left="6480" w:hanging="180"/>
      </w:pPr>
    </w:lvl>
  </w:abstractNum>
  <w:abstractNum w:abstractNumId="28233">
    <w:multiLevelType w:val="hybridMultilevel"/>
    <w:lvl w:ilvl="0" w:tplc="37125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233">
    <w:abstractNumId w:val="28233"/>
  </w:num>
  <w:num w:numId="28234">
    <w:abstractNumId w:val="282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02440309" Type="http://schemas.openxmlformats.org/officeDocument/2006/relationships/comments" Target="comments.xml"/><Relationship Id="rId501324975" Type="http://schemas.microsoft.com/office/2011/relationships/commentsExtended" Target="commentsExtended.xml"/><Relationship Id="rId52752146" Type="http://schemas.openxmlformats.org/officeDocument/2006/relationships/image" Target="media/imgrId52752146.jpg"/><Relationship Id="rId822968126ecb61f53" Type="http://schemas.openxmlformats.org/officeDocument/2006/relationships/hyperlink" Target="https://iservice.lombardini.it/jsp/Template2/manuale.jsp?id=199&amp;parent=1000" TargetMode="External"/><Relationship Id="rId845268126ecb603ce" Type="http://schemas.openxmlformats.org/officeDocument/2006/relationships/image" Target="media/imgrId845268126ecb603ce.jpg"/><Relationship Id="rId410968126ecb8de32" Type="http://schemas.openxmlformats.org/officeDocument/2006/relationships/image" Target="media/imgrId410968126ecb8de32.jpg"/><Relationship Id="rId463568126ecb9a1f8" Type="http://schemas.openxmlformats.org/officeDocument/2006/relationships/image" Target="media/imgrId463568126ecb9a1f8.jpg"/><Relationship Id="rId438368126ecba11d5" Type="http://schemas.openxmlformats.org/officeDocument/2006/relationships/image" Target="media/imgrId438368126ecba11d5.jpg"/><Relationship Id="rId309568126ecba64d4" Type="http://schemas.openxmlformats.org/officeDocument/2006/relationships/image" Target="media/imgrId309568126ecba64d4.jpg"/><Relationship Id="rId615668126ecbaee59" Type="http://schemas.openxmlformats.org/officeDocument/2006/relationships/image" Target="media/imgrId615668126ecbaee59.jpg"/><Relationship Id="rId140268126ecbb474b" Type="http://schemas.openxmlformats.org/officeDocument/2006/relationships/image" Target="media/imgrId140268126ecbb474b.jpg"/><Relationship Id="rId617668126ecbb9d58" Type="http://schemas.openxmlformats.org/officeDocument/2006/relationships/image" Target="media/imgrId617668126ecbb9d58.jpg"/><Relationship Id="rId384668126ecbc0a61" Type="http://schemas.openxmlformats.org/officeDocument/2006/relationships/image" Target="media/imgrId384668126ecbc0a61.png"/><Relationship Id="rId660768126ecbc85ed" Type="http://schemas.openxmlformats.org/officeDocument/2006/relationships/image" Target="media/imgrId660768126ecbc85ed.png"/><Relationship Id="rId972568126ecbcff72" Type="http://schemas.openxmlformats.org/officeDocument/2006/relationships/image" Target="media/imgrId972568126ecbcff72.png"/><Relationship Id="rId234968126ecbd5694" Type="http://schemas.openxmlformats.org/officeDocument/2006/relationships/image" Target="media/imgrId234968126ecbd5694.jpg"/><Relationship Id="rId413368126ecbda7fd" Type="http://schemas.openxmlformats.org/officeDocument/2006/relationships/image" Target="media/imgrId413368126ecbda7fd.jpg"/><Relationship Id="rId651368126ecbdf772" Type="http://schemas.openxmlformats.org/officeDocument/2006/relationships/image" Target="media/imgrId651368126ecbdf772.jpg"/><Relationship Id="rId677468126ecbeb0f8" Type="http://schemas.openxmlformats.org/officeDocument/2006/relationships/image" Target="media/imgrId677468126ecbeb0f8.jpg"/><Relationship Id="rId759768126ecbefb1e" Type="http://schemas.openxmlformats.org/officeDocument/2006/relationships/image" Target="media/imgrId759768126ecbefb1e.jpg"/><Relationship Id="rId127568126ecc00337" Type="http://schemas.openxmlformats.org/officeDocument/2006/relationships/image" Target="media/imgrId127568126ecc00337.jpg"/><Relationship Id="rId353168126ecc08432" Type="http://schemas.openxmlformats.org/officeDocument/2006/relationships/image" Target="media/imgrId353168126ecc08432.jpg"/><Relationship Id="rId209768126ecc0d4b7" Type="http://schemas.openxmlformats.org/officeDocument/2006/relationships/image" Target="media/imgrId209768126ecc0d4b7.jpg"/><Relationship Id="rId879068126ecc1239d" Type="http://schemas.openxmlformats.org/officeDocument/2006/relationships/image" Target="media/imgrId879068126ecc1239d.jpg"/><Relationship Id="rId547968126ecc176de" Type="http://schemas.openxmlformats.org/officeDocument/2006/relationships/image" Target="media/imgrId547968126ecc176de.jpg"/><Relationship Id="rId419468126ecc1c2aa" Type="http://schemas.openxmlformats.org/officeDocument/2006/relationships/image" Target="media/imgrId419468126ecc1c2aa.jpg"/><Relationship Id="rId791368126ecc211c9" Type="http://schemas.openxmlformats.org/officeDocument/2006/relationships/image" Target="media/imgrId791368126ecc211c9.jpg"/><Relationship Id="rId221268126ecc26dc9" Type="http://schemas.openxmlformats.org/officeDocument/2006/relationships/image" Target="media/imgrId221268126ecc26dc9.jpg"/><Relationship Id="rId816468126ecc2e5ea" Type="http://schemas.openxmlformats.org/officeDocument/2006/relationships/image" Target="media/imgrId816468126ecc2e5ea.jpg"/><Relationship Id="rId759168126ecc333c4" Type="http://schemas.openxmlformats.org/officeDocument/2006/relationships/image" Target="media/imgrId759168126ecc333c4.jpg"/><Relationship Id="rId268468126ecc37f74" Type="http://schemas.openxmlformats.org/officeDocument/2006/relationships/image" Target="media/imgrId268468126ecc37f74.jpg"/><Relationship Id="rId937568126ecc3da6b" Type="http://schemas.openxmlformats.org/officeDocument/2006/relationships/image" Target="media/imgrId937568126ecc3da6b.jpg"/><Relationship Id="rId574168126ecc45201" Type="http://schemas.openxmlformats.org/officeDocument/2006/relationships/image" Target="media/imgrId574168126ecc45201.jpg"/><Relationship Id="rId154268126ecc49ebe" Type="http://schemas.openxmlformats.org/officeDocument/2006/relationships/image" Target="media/imgrId154268126ecc49ebe.jpg"/><Relationship Id="rId456268126ecc509f6" Type="http://schemas.openxmlformats.org/officeDocument/2006/relationships/image" Target="media/imgrId456268126ecc509f6.jpg"/><Relationship Id="rId303068126ecc5565d" Type="http://schemas.openxmlformats.org/officeDocument/2006/relationships/image" Target="media/imgrId303068126ecc5565d.jpg"/><Relationship Id="rId296268126ecc5a700" Type="http://schemas.openxmlformats.org/officeDocument/2006/relationships/image" Target="media/imgrId296268126ecc5a700.jpg"/><Relationship Id="rId464968126ecc6b7d7" Type="http://schemas.openxmlformats.org/officeDocument/2006/relationships/image" Target="media/imgrId464968126ecc6b7d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2752146" Type="http://schemas.openxmlformats.org/officeDocument/2006/relationships/image" Target="media/imgrId5275214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