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2504TCR / KDI 2504TCRE5 Owner Manual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356122963"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43267803"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39506752" w:name="ctxt"/>
    <w:bookmarkEnd w:id="39506752"/>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- 4-stroke, in-line cylinders Diesel engine; - Liquid-cooling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valves per cylinder with hydraulic tappets;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Turbocharger with Waste-gate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Common rail - Direct injection.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008000" cy="842400"/>
                  <wp:effectExtent b="0" l="0" r="0" t="0"/>
                  <wp:docPr id="19647029" name="name29356818f440cdeda" descr="KDI1903TCR__Tab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DI1903TCR__Tab_2.1.jpg"/>
                          <pic:cNvPicPr/>
                        </pic:nvPicPr>
                        <pic:blipFill>
                          <a:blip r:embed="rId57616818f440cded4" cstate="print"/>
                          <a:stretch>
                            <a:fillRect/>
                          </a:stretch>
                        </pic:blipFill>
                        <pic:spPr>
                          <a:xfrm>
                            <a:off x="0" y="0"/>
                            <a:ext cx="1008000" cy="8424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0"/>
              </w:rPr>
              <w:drawing>
                <wp:inline distT="0" distB="0" distL="0" distR="0">
                  <wp:extent cx="1015200" cy="820800"/>
                  <wp:effectExtent b="0" l="0" r="0" t="0"/>
                  <wp:docPr id="94931501" name="name43086818f440dd0e0" descr="KDI2504TCR__Tab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DI2504TCR__Tab_2.1.jpg"/>
                          <pic:cNvPicPr/>
                        </pic:nvPicPr>
                        <pic:blipFill>
                          <a:blip r:embed="rId60436818f440dd0dc" cstate="print"/>
                          <a:stretch>
                            <a:fillRect/>
                          </a:stretch>
                        </pic:blipFill>
                        <pic:spPr>
                          <a:xfrm>
                            <a:off x="0" y="0"/>
                            <a:ext cx="1015200" cy="820800"/>
                          </a:xfrm>
                          <a:prstGeom prst="rect">
                            <a:avLst/>
                          </a:prstGeom>
                          <a:ln w="0">
                            <a:noFill/>
                          </a:ln>
                        </pic:spPr>
                      </pic:pic>
                    </a:graphicData>
                  </a:graphic>
                </wp:inline>
              </w:drawing>
            </w:r>
            <w:r>
              <w:rPr>
                <w:b/>
                <w:bCs/>
                <w:color w:val="FFFFFF"/>
                <w:position w:val="-2"/>
                <w:sz w:val="20"/>
                <w:szCs w:val="20"/>
                <w:u w:val="none"/>
                <w:shd w:val="clear" w:color="auto" w:fill="00274C"/>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1903 TCR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2504 TCR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max. 30 minutes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 max.1 minute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standard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with balancer device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267</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225" w:after="225" w:line="262" w:lineRule="auto"/>
        <w:ind w:left="0" w:right="0"/>
        <w:jc w:val="left"/>
      </w:pPr>
      <w:r>
        <w:drawing>
          <wp:inline distT="0" distB="0" distL="0" distR="0">
            <wp:extent cx="4752000" cy="2844000"/>
            <wp:effectExtent b="0" l="0" r="0" t="0"/>
            <wp:docPr id="86251308" name="name21366818f440f0db2" descr="10_ZH_TC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H_TCR2.jpg"/>
                    <pic:cNvPicPr/>
                  </pic:nvPicPr>
                  <pic:blipFill>
                    <a:blip r:embed="rId84746818f440f0dae" cstate="print"/>
                    <a:stretch>
                      <a:fillRect/>
                    </a:stretch>
                  </pic:blipFill>
                  <pic:spPr>
                    <a:xfrm>
                      <a:off x="0" y="0"/>
                      <a:ext cx="4752000" cy="28440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5362868" name="name96836818f44106c8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5066818f44106c7d"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7925"/>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27925"/>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27925"/>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27925"/>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27925"/>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2435869" name="name63416818f4410cab0"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8716818f4410caab"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7925"/>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27925"/>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27925"/>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27925"/>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27925"/>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21457026" name="name70726818f44114979"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97986818f44114975"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36379975" name="name14856818f4411b440"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28416818f4411b43c"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40294392" name="name66006818f44122cab"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31576818f44122ca6"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r>
    </w:tbl>
    <w:p>
      <w:pPr>
        <w:numPr>
          <w:ilvl w:val="0"/>
          <w:numId w:val="27925"/>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27925"/>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27925"/>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25071763" name="name48016818f44131f40"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10716818f44131f3b"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7925"/>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31066381" name="name55106818f441396fa"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18116818f441396f6"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27925"/>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27925"/>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27925"/>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Certification --&gt;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Stage 5</w:t>
                  </w:r>
                  <w:r>
                    <w:rPr>
                      <w:color w:val="00274C"/>
                      <w:position w:val="-2"/>
                      <w:sz w:val="20"/>
                      <w:szCs w:val="20"/>
                      <w:u w:val="none"/>
                    </w:rPr>
                    <w:br/>
                    <w:t xml:space="preserve"> </w:t>
                  </w:r>
                  <w:r>
                    <w:rPr>
                      <w:b/>
                      <w:bCs/>
                      <w:color w:val="00274C"/>
                      <w:position w:val="-2"/>
                      <w:sz w:val="20"/>
                      <w:szCs w:val="20"/>
                      <w:u w:val="none"/>
                    </w:rPr>
                    <w:t xml:space="preserve">Stage 4</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Stage 3B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Stage 3A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Tier IVF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Tier III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 certification (*1)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Remarks</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w:t>
                  </w:r>
                  <w:r>
                    <w:rPr>
                      <w:b/>
                      <w:bCs/>
                      <w:color w:val="00274C"/>
                      <w:position w:val="-2"/>
                      <w:sz w:val="20"/>
                      <w:szCs w:val="20"/>
                      <w:u w:val="none"/>
                    </w:rPr>
                    <w:t xml:space="preserve">the regions known as poor lubricity diesel fuel quality or if the engine is operated with Jet fuels, the primary filter must be with lubricity dosing capability. Contact Kohler for information about the approved filter for this purpose.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Fuel Type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EN590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HVO 100% </w:t>
                  </w:r>
                  <w:r>
                    <w:rPr>
                      <w:color w:val="00274C"/>
                      <w:position w:val="-2"/>
                      <w:sz w:val="20"/>
                      <w:szCs w:val="20"/>
                      <w:u w:val="none"/>
                    </w:rPr>
                    <w:t xml:space="preserve"> (EN 15940)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and torque might be 1% to 5% lower due to low fuel density compared to standard diesel fuel.</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Military NATO Fuel F-54 (S = 10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JIS K 2204 No.1, No.2</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For ambient temperatures below 0°C (32°F) with no arctic fuel available (Grade 1-D S15, Grade 2-D S15, ASTM D 975) use the following additives to prevent possible engine damage with low engine load in cold weather: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925"/>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Different additives are not allowed.</w:t>
                  </w:r>
                </w:p>
                <w:p>
                  <w:pPr>
                    <w:widowControl w:val="on"/>
                    <w:pBdr/>
                    <w:spacing w:before="0" w:after="0" w:line="262" w:lineRule="auto"/>
                    <w:ind w:left="0" w:right="0"/>
                    <w:jc w:val="left"/>
                    <w:textAlignment w:val="center"/>
                  </w:pPr>
                  <w:r>
                    <w:rPr>
                      <w:color w:val="00274C"/>
                      <w:position w:val="-2"/>
                      <w:sz w:val="20"/>
                      <w:szCs w:val="20"/>
                      <w:u w:val="none"/>
                    </w:rPr>
                    <w:t xml:space="preserve">The use of approved additives has no impact on the engine maintenance schedule.</w:t>
                  </w:r>
                </w:p>
                <w:p/>
                <w:p/>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ASTM D975 Grade1 and Grade2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F-34/F-35 (kerosene, NATO designation)</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Operations with Jet Fuels</w:t>
                  </w:r>
                </w:p>
                <w:p/>
                <w:p/>
                <w:p>
                  <w:pPr>
                    <w:widowControl w:val="on"/>
                    <w:pBdr/>
                    <w:spacing w:before="0" w:after="0" w:line="262" w:lineRule="auto"/>
                    <w:ind w:left="0" w:right="0"/>
                    <w:jc w:val="left"/>
                    <w:textAlignment w:val="center"/>
                  </w:pPr>
                  <w:r>
                    <w:rPr>
                      <w:color w:val="00274C"/>
                      <w:position w:val="-2"/>
                      <w:sz w:val="20"/>
                      <w:szCs w:val="20"/>
                      <w:u w:val="none"/>
                    </w:rPr>
                    <w:t xml:space="preserve">The jet fuels can be used but only adopting an additional fuel filter with lubricity doser.</w:t>
                  </w:r>
                </w:p>
                <w:p>
                  <w:pPr>
                    <w:widowControl w:val="on"/>
                    <w:pBdr/>
                    <w:spacing w:before="0" w:after="0" w:line="262" w:lineRule="auto"/>
                    <w:ind w:left="0" w:right="0"/>
                    <w:jc w:val="left"/>
                    <w:textAlignment w:val="center"/>
                  </w:pPr>
                  <w:r>
                    <w:rPr>
                      <w:color w:val="00274C"/>
                      <w:position w:val="-2"/>
                      <w:sz w:val="20"/>
                      <w:szCs w:val="20"/>
                      <w:u w:val="none"/>
                    </w:rPr>
                    <w:t xml:space="preserve">Because of lower density and greater leak fuel volume due to lower viscosity, depending on the engine speed and torque, a power loss up to 10% is possible.</w:t>
                  </w:r>
                </w:p>
                <w:p>
                  <w:pPr>
                    <w:widowControl w:val="on"/>
                    <w:pBdr/>
                    <w:spacing w:before="0" w:after="0" w:line="262" w:lineRule="auto"/>
                    <w:ind w:left="0" w:right="0"/>
                    <w:jc w:val="left"/>
                    <w:textAlignment w:val="center"/>
                  </w:pPr>
                  <w:r>
                    <w:rPr>
                      <w:color w:val="00274C"/>
                      <w:position w:val="-2"/>
                      <w:sz w:val="20"/>
                      <w:szCs w:val="20"/>
                      <w:u w:val="none"/>
                    </w:rPr>
                    <w:t xml:space="preserve">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F-44 (kerosene, NATO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F-63 (kerosene, NATO designation, equivalent to F-34/F-35 with additives)</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JP-8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JP-5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 (kerosene for civil aviation)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A1 (kerosene for civil aviation)</w:t>
                  </w:r>
                </w:p>
              </w:tc>
              <w:tc>
                <w:tcPr>
                  <w:gridSpan w:val="1"/>
                  <w:vMerge w:val="continue"/>
                  <w:tcBorders>
                    <w:top w:val="single" w:color="CCCCCC" w:sz="5"/>
                    <w:left w:val="single" w:color="CCCCCC" w:sz="5"/>
                    <w:bottom w:val="single" w:color="CCCCCC" w:sz="5"/>
                    <w:right w:val="single" w:color="CCCCCC" w:sz="5"/>
                  </w:tcBorders>
                </w:tcP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58924905" name="name70556818f44147e5a"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48806818f44147e56"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65505164" name="name21486818f4414fde4"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42796818f4414fde0"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Kohler / 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98701377" name="name96586818f44158339"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50846818f44158335"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925"/>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27925"/>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3874064" name="name26086818f4415f8fd"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34436818f4415f8f9"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7925"/>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27925"/>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Control panel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2.8</w:t>
            </w:r>
            <w:r>
              <w:rPr>
                <w:color w:val="00274C"/>
                <w:position w:val="-2"/>
                <w:sz w:val="20"/>
                <w:szCs w:val="20"/>
                <w:u w:val="none"/>
              </w:rPr>
              <w:t xml:space="preserve">  shows the control panel components.
</w:t>
            </w:r>
          </w:p>
          <w:p>
            <w:pPr>
              <w:widowControl w:val="on"/>
              <w:pBdr/>
              <w:spacing w:before="0" w:after="0" w:line="262" w:lineRule="auto"/>
              <w:ind w:left="0" w:right="0"/>
              <w:jc w:val="left"/>
              <w:textAlignment w:val="center"/>
            </w:pPr>
            <w:r>
              <w:rPr>
                <w:b/>
                <w:bCs/>
                <w:color w:val="00274C"/>
                <w:position w:val="-2"/>
                <w:sz w:val="20"/>
                <w:szCs w:val="20"/>
                <w:u w:val="none"/>
              </w:rPr>
              <w:br/>
              <w:t xml:space="preserve">Tab 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Switch key to start the panel and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data or errors display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Top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Bottom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selection or entry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operating status (green = no problem detected)</w:t>
                  </w:r>
                </w:p>
              </w:tc>
            </w:tr>
          </w:tbl>
          <w:p/>
        </w:tc>
        <w:tc>
          <w:tcPr>
            <w:tcW w:w="0" w:type="auto"/>
            <w:tcMar>
              <w:top w:w="150" w:type="dxa"/>
              <w:left w:w="150" w:type="dxa"/>
              <w:bottom w:w="150" w:type="dxa"/>
              <w:right w:w="150" w:type="dxa"/>
            </w:tcMar>
            <w:vAlign w:val="top"/>
          </w:tcPr>
          <w:p>
            <w:r>
              <w:rPr>
                <w:position w:val="-196"/>
              </w:rPr>
              <w:drawing>
                <wp:inline distT="0" distB="0" distL="0" distR="0">
                  <wp:extent cx="2196000" cy="1296000"/>
                  <wp:effectExtent b="0" l="0" r="0" t="0"/>
                  <wp:docPr id="47288262" name="name14076818f4416b330" descr="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jpg"/>
                          <pic:cNvPicPr/>
                        </pic:nvPicPr>
                        <pic:blipFill>
                          <a:blip r:embed="rId78296818f4416b32c" cstate="print"/>
                          <a:stretch>
                            <a:fillRect/>
                          </a:stretch>
                        </pic:blipFill>
                        <pic:spPr>
                          <a:xfrm>
                            <a:off x="0" y="0"/>
                            <a:ext cx="2196000" cy="129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if LED </w:t>
            </w:r>
            <w:r>
              <w:rPr>
                <w:b/>
                <w:bCs/>
                <w:color w:val="00274C"/>
                <w:position w:val="-2"/>
                <w:sz w:val="20"/>
                <w:szCs w:val="20"/>
                <w:u w:val="none"/>
              </w:rPr>
              <w:t xml:space="preserve">F</w:t>
            </w:r>
            <w:r>
              <w:rPr>
                <w:color w:val="00274C"/>
                <w:position w:val="-2"/>
                <w:sz w:val="20"/>
                <w:szCs w:val="20"/>
                <w:u w:val="none"/>
              </w:rPr>
              <w:t xml:space="preserve"> is red, contact authorised KOHLER workshops to know what type of problem it is. Certain problems automatically switch off the engine.</w:t>
            </w:r>
          </w:p>
          <w:p/>
          <w:p/>
          <w:p>
            <w:pPr>
              <w:widowControl w:val="on"/>
              <w:pBdr/>
              <w:spacing w:before="0" w:after="0" w:line="262" w:lineRule="auto"/>
              <w:ind w:left="0" w:right="0"/>
              <w:jc w:val="left"/>
              <w:textAlignment w:val="center"/>
            </w:pPr>
            <w:r>
              <w:rPr>
                <w:b/>
                <w:bCs/>
                <w:color w:val="00274C"/>
                <w:position w:val="-2"/>
                <w:sz w:val="20"/>
                <w:szCs w:val="20"/>
                <w:u w:val="none"/>
              </w:rPr>
              <w:t xml:space="preserve">Tab. 2.9 </w:t>
            </w:r>
            <w:r>
              <w:rPr>
                <w:color w:val="00274C"/>
                <w:position w:val="-2"/>
                <w:sz w:val="20"/>
                <w:szCs w:val="20"/>
                <w:u w:val="none"/>
              </w:rPr>
              <w:t xml:space="preserve"> shows data that can be consulted on display </w:t>
            </w:r>
            <w:r>
              <w:rPr>
                <w:b/>
                <w:bCs/>
                <w:color w:val="00274C"/>
                <w:position w:val="-2"/>
                <w:sz w:val="20"/>
                <w:szCs w:val="20"/>
                <w:u w:val="none"/>
              </w:rPr>
              <w:t xml:space="preserve">B</w:t>
            </w:r>
            <w:r>
              <w:rPr>
                <w:color w:val="00274C"/>
                <w:position w:val="-2"/>
                <w:sz w:val="20"/>
                <w:szCs w:val="20"/>
                <w:u w:val="none"/>
              </w:rPr>
              <w:t xml:space="preserve"> by pressing push buttons </w:t>
            </w:r>
            <w:r>
              <w:rPr>
                <w:b/>
                <w:bCs/>
                <w:color w:val="00274C"/>
                <w:position w:val="-2"/>
                <w:sz w:val="20"/>
                <w:szCs w:val="20"/>
                <w:u w:val="none"/>
              </w:rPr>
              <w:t xml:space="preserve">C</w:t>
            </w:r>
            <w:r>
              <w:rPr>
                <w:color w:val="00274C"/>
                <w:position w:val="-2"/>
                <w:sz w:val="20"/>
                <w:szCs w:val="20"/>
                <w:u w:val="none"/>
              </w:rPr>
              <w:t xml:space="preserve"> or </w:t>
            </w:r>
            <w:r>
              <w:rPr>
                <w:b/>
                <w:bCs/>
                <w:color w:val="00274C"/>
                <w:position w:val="-2"/>
                <w:sz w:val="20"/>
                <w:szCs w:val="20"/>
                <w:u w:val="none"/>
              </w:rPr>
              <w:t xml:space="preserve">D</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data described in </w:t>
            </w:r>
            <w:r>
              <w:rPr>
                <w:b/>
                <w:bCs/>
                <w:color w:val="00274C"/>
                <w:position w:val="-2"/>
                <w:sz w:val="20"/>
                <w:szCs w:val="20"/>
                <w:u w:val="none"/>
              </w:rPr>
              <w:t xml:space="preserve">Tab. 2.9</w:t>
            </w:r>
            <w:r>
              <w:rPr>
                <w:color w:val="00274C"/>
                <w:position w:val="-2"/>
                <w:sz w:val="20"/>
                <w:szCs w:val="20"/>
                <w:u w:val="none"/>
              </w:rPr>
              <w:t xml:space="preserve">  can differ, therefore, consult the machine's manual.</w:t>
            </w:r>
          </w:p>
          <w:p>
            <w:pPr>
              <w:widowControl w:val="on"/>
              <w:pBdr/>
              <w:spacing w:before="0" w:after="0" w:line="262" w:lineRule="auto"/>
              <w:ind w:left="0" w:right="0"/>
              <w:jc w:val="left"/>
              <w:textAlignment w:val="center"/>
            </w:pPr>
            <w:r>
              <w:rPr>
                <w:b/>
                <w:bCs/>
                <w:color w:val="00274C"/>
                <w:position w:val="-2"/>
                <w:sz w:val="20"/>
                <w:szCs w:val="20"/>
                <w:u w:val="none"/>
              </w:rPr>
              <w:br/>
              <w:t xml:space="preserve">Tab 2.9</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hours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Hours left for maintenance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used @ rpm (% used)</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7926">
    <w:multiLevelType w:val="hybridMultilevel"/>
    <w:lvl w:ilvl="0" w:tplc="46143601">
      <w:start w:val="1"/>
      <w:numFmt w:val="decimal"/>
      <w:lvlText w:val="%1."/>
      <w:lvlJc w:val="left"/>
      <w:pPr>
        <w:ind w:left="720" w:hanging="360"/>
      </w:pPr>
    </w:lvl>
    <w:lvl w:ilvl="1" w:tplc="46143601" w:tentative="1">
      <w:start w:val="1"/>
      <w:numFmt w:val="lowerLetter"/>
      <w:lvlText w:val="%2."/>
      <w:lvlJc w:val="left"/>
      <w:pPr>
        <w:ind w:left="1440" w:hanging="360"/>
      </w:pPr>
    </w:lvl>
    <w:lvl w:ilvl="2" w:tplc="46143601" w:tentative="1">
      <w:start w:val="1"/>
      <w:numFmt w:val="lowerRoman"/>
      <w:lvlText w:val="%3."/>
      <w:lvlJc w:val="right"/>
      <w:pPr>
        <w:ind w:left="2160" w:hanging="180"/>
      </w:pPr>
    </w:lvl>
    <w:lvl w:ilvl="3" w:tplc="46143601" w:tentative="1">
      <w:start w:val="1"/>
      <w:numFmt w:val="decimal"/>
      <w:lvlText w:val="%4."/>
      <w:lvlJc w:val="left"/>
      <w:pPr>
        <w:ind w:left="2880" w:hanging="360"/>
      </w:pPr>
    </w:lvl>
    <w:lvl w:ilvl="4" w:tplc="46143601" w:tentative="1">
      <w:start w:val="1"/>
      <w:numFmt w:val="lowerLetter"/>
      <w:lvlText w:val="%5."/>
      <w:lvlJc w:val="left"/>
      <w:pPr>
        <w:ind w:left="3600" w:hanging="360"/>
      </w:pPr>
    </w:lvl>
    <w:lvl w:ilvl="5" w:tplc="46143601" w:tentative="1">
      <w:start w:val="1"/>
      <w:numFmt w:val="lowerRoman"/>
      <w:lvlText w:val="%6."/>
      <w:lvlJc w:val="right"/>
      <w:pPr>
        <w:ind w:left="4320" w:hanging="180"/>
      </w:pPr>
    </w:lvl>
    <w:lvl w:ilvl="6" w:tplc="46143601" w:tentative="1">
      <w:start w:val="1"/>
      <w:numFmt w:val="decimal"/>
      <w:lvlText w:val="%7."/>
      <w:lvlJc w:val="left"/>
      <w:pPr>
        <w:ind w:left="5040" w:hanging="360"/>
      </w:pPr>
    </w:lvl>
    <w:lvl w:ilvl="7" w:tplc="46143601" w:tentative="1">
      <w:start w:val="1"/>
      <w:numFmt w:val="lowerLetter"/>
      <w:lvlText w:val="%8."/>
      <w:lvlJc w:val="left"/>
      <w:pPr>
        <w:ind w:left="5760" w:hanging="360"/>
      </w:pPr>
    </w:lvl>
    <w:lvl w:ilvl="8" w:tplc="46143601" w:tentative="1">
      <w:start w:val="1"/>
      <w:numFmt w:val="lowerRoman"/>
      <w:lvlText w:val="%9."/>
      <w:lvlJc w:val="right"/>
      <w:pPr>
        <w:ind w:left="6480" w:hanging="180"/>
      </w:pPr>
    </w:lvl>
  </w:abstractNum>
  <w:abstractNum w:abstractNumId="27925">
    <w:multiLevelType w:val="hybridMultilevel"/>
    <w:lvl w:ilvl="0" w:tplc="5002352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7925">
    <w:abstractNumId w:val="27925"/>
  </w:num>
  <w:num w:numId="27926">
    <w:abstractNumId w:val="279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920166426" Type="http://schemas.openxmlformats.org/officeDocument/2006/relationships/comments" Target="comments.xml"/><Relationship Id="rId825863911" Type="http://schemas.microsoft.com/office/2011/relationships/commentsExtended" Target="commentsExtended.xml"/><Relationship Id="rId43267803" Type="http://schemas.openxmlformats.org/officeDocument/2006/relationships/image" Target="media/imgrId43267803.jpg"/><Relationship Id="rId57616818f440cded4" Type="http://schemas.openxmlformats.org/officeDocument/2006/relationships/image" Target="media/imgrId57616818f440cded4.jpg"/><Relationship Id="rId60436818f440dd0dc" Type="http://schemas.openxmlformats.org/officeDocument/2006/relationships/image" Target="media/imgrId60436818f440dd0dc.jpg"/><Relationship Id="rId84746818f440f0dae" Type="http://schemas.openxmlformats.org/officeDocument/2006/relationships/image" Target="media/imgrId84746818f440f0dae.jpg"/><Relationship Id="rId65066818f44106c7d" Type="http://schemas.openxmlformats.org/officeDocument/2006/relationships/image" Target="media/imgrId65066818f44106c7d.jpg"/><Relationship Id="rId48716818f4410caab" Type="http://schemas.openxmlformats.org/officeDocument/2006/relationships/image" Target="media/imgrId48716818f4410caab.jpg"/><Relationship Id="rId97986818f44114975" Type="http://schemas.openxmlformats.org/officeDocument/2006/relationships/image" Target="media/imgrId97986818f44114975.jpg"/><Relationship Id="rId28416818f4411b43c" Type="http://schemas.openxmlformats.org/officeDocument/2006/relationships/image" Target="media/imgrId28416818f4411b43c.jpg"/><Relationship Id="rId31576818f44122ca6" Type="http://schemas.openxmlformats.org/officeDocument/2006/relationships/image" Target="media/imgrId31576818f44122ca6.jpg"/><Relationship Id="rId10716818f44131f3b" Type="http://schemas.openxmlformats.org/officeDocument/2006/relationships/image" Target="media/imgrId10716818f44131f3b.png"/><Relationship Id="rId18116818f441396f6" Type="http://schemas.openxmlformats.org/officeDocument/2006/relationships/image" Target="media/imgrId18116818f441396f6.png"/><Relationship Id="rId48806818f44147e56" Type="http://schemas.openxmlformats.org/officeDocument/2006/relationships/image" Target="media/imgrId48806818f44147e56.jpg"/><Relationship Id="rId42796818f4414fde0" Type="http://schemas.openxmlformats.org/officeDocument/2006/relationships/image" Target="media/imgrId42796818f4414fde0.jpg"/><Relationship Id="rId50846818f44158335" Type="http://schemas.openxmlformats.org/officeDocument/2006/relationships/image" Target="media/imgrId50846818f44158335.jpg"/><Relationship Id="rId34436818f4415f8f9" Type="http://schemas.openxmlformats.org/officeDocument/2006/relationships/image" Target="media/imgrId34436818f4415f8f9.png"/><Relationship Id="rId78296818f4416b32c" Type="http://schemas.openxmlformats.org/officeDocument/2006/relationships/image" Target="media/imgrId78296818f4416b32c.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43267803" Type="http://schemas.openxmlformats.org/officeDocument/2006/relationships/image" Target="media/imgrId43267803.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43267803" Type="http://schemas.openxmlformats.org/officeDocument/2006/relationships/image" Target="media/imgrId43267803.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43267803" Type="http://schemas.openxmlformats.org/officeDocument/2006/relationships/image" Target="media/imgrId43267803.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43267803" Type="http://schemas.openxmlformats.org/officeDocument/2006/relationships/image" Target="media/imgrId43267803.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43267803" Type="http://schemas.openxmlformats.org/officeDocument/2006/relationships/image" Target="media/imgrId43267803.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43267803" Type="http://schemas.openxmlformats.org/officeDocument/2006/relationships/image" Target="media/imgrId4326780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