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2504TCR / KDI 2504TCRE5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7138877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617182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211466" w:name="ctxt"/>
    <w:bookmarkEnd w:id="4211466"/>
    <w:p>
      <w:pPr>
        <w:widowControl w:val="on"/>
        <w:pBdr/>
        <w:spacing w:before="75" w:after="75" w:line="240" w:lineRule="auto"/>
        <w:ind w:left="75" w:right="75"/>
        <w:jc w:val="left"/>
        <w:textDirection w:val="lrTb"/>
      </w:pPr>
    </w:p>
    <w:p>
      <w:pPr>
        <w:pStyle w:val="Titolo1"/>
        <w:outlineLvl w:val="0"/>
      </w:pPr>
      <w:r>
        <w:rPr/>
        <w:t xml:space="preserve">Informazioni sulla sicurezza</w:t>
      </w:r>
    </w:p>
    <w:p>
      <w:pPr>
        <w:widowControl w:val="on"/>
        <w:pBdr/>
        <w:spacing w:before="0" w:after="0" w:line="240" w:lineRule="auto"/>
        <w:ind w:left="0" w:right="0"/>
        <w:jc w:val="left"/>
        <w:textDirection w:val="lrTb"/>
      </w:pPr>
    </w:p>
    <w:p>
      <w:pPr>
        <w:pStyle w:val="Titolo2"/>
        <w:outlineLvl w:val="1"/>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8099"/>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28099"/>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28099"/>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8099"/>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28099"/>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28099"/>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28099"/>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Note generali</w:t>
      </w:r>
    </w:p>
    <w:p>
      <w:pPr>
        <w:widowControl w:val="on"/>
        <w:pBdr/>
        <w:spacing w:before="0" w:after="0" w:line="262" w:lineRule="auto"/>
        <w:ind w:left="0" w:right="0"/>
        <w:jc w:val="left"/>
        <w:textDirection w:val="lrTb"/>
      </w:pPr>
      <w:r>
        <w:rPr>
          <w:b/>
          <w:bCs/>
          <w:color w:val="00274C"/>
          <w:sz w:val="20"/>
          <w:szCs w:val="20"/>
          <w:u w:val="none"/>
        </w:rPr>
        <w:t xml:space="preserve">3.2.1 Note per il costruttore</w:t>
      </w:r>
    </w:p>
    <w:p>
      <w:pPr>
        <w:numPr>
          <w:ilvl w:val="0"/>
          <w:numId w:val="28099"/>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28099"/>
        </w:numPr>
        <w:spacing w:before="0" w:after="0" w:line="240" w:lineRule="auto"/>
        <w:jc w:val="left"/>
        <w:rPr>
          <w:color w:val="00274C"/>
          <w:sz w:val="20"/>
          <w:szCs w:val="20"/>
        </w:rPr>
      </w:pPr>
      <w:r>
        <w:rPr>
          <w:color w:val="00274C"/>
          <w:sz w:val="20"/>
          <w:szCs w:val="20"/>
          <w:u w:val="none"/>
        </w:rPr>
        <w:t xml:space="preserve">L'ottimizzazione dovrà essere verificata a priori presso le sale prove della </w:t>
      </w:r>
      <w:r>
        <w:rPr>
          <w:b/>
          <w:bCs/>
          <w:color w:val="00274C"/>
          <w:sz w:val="20"/>
          <w:szCs w:val="20"/>
          <w:u w:val="none"/>
        </w:rPr>
        <w:t xml:space="preserve">KOHLER</w:t>
      </w:r>
      <w:r>
        <w:rPr>
          <w:color w:val="00274C"/>
          <w:sz w:val="20"/>
          <w:szCs w:val="20"/>
          <w:u w:val="none"/>
        </w:rPr>
        <w:t xml:space="preserve"> .</w:t>
      </w:r>
    </w:p>
    <w:p>
      <w:pPr>
        <w:numPr>
          <w:ilvl w:val="0"/>
          <w:numId w:val="28099"/>
        </w:numPr>
        <w:spacing w:before="0" w:after="0" w:line="240" w:lineRule="auto"/>
        <w:jc w:val="left"/>
        <w:rPr>
          <w:color w:val="00274C"/>
          <w:sz w:val="20"/>
          <w:szCs w:val="20"/>
        </w:rPr>
      </w:pPr>
      <w:r>
        <w:rPr>
          <w:color w:val="00274C"/>
          <w:sz w:val="20"/>
          <w:szCs w:val="20"/>
          <w:u w:val="none"/>
        </w:rPr>
        <w:t xml:space="preserve">La non approvazione da parte della </w:t>
      </w:r>
      <w:r>
        <w:rPr>
          <w:b/>
          <w:bCs/>
          <w:color w:val="00274C"/>
          <w:sz w:val="20"/>
          <w:szCs w:val="20"/>
          <w:u w:val="none"/>
        </w:rPr>
        <w:t xml:space="preserve">KOHLER</w:t>
      </w:r>
      <w:r>
        <w:rPr>
          <w:color w:val="00274C"/>
          <w:sz w:val="20"/>
          <w:szCs w:val="20"/>
          <w:u w:val="none"/>
        </w:rPr>
        <w:t xml:space="preserve"> di tale tipo di modifica ne solleva la stessa dalle anomalie di funzionamento e da eventuali danni che il motore può subire.</w:t>
      </w:r>
    </w:p>
    <w:p>
      <w:pPr>
        <w:numPr>
          <w:ilvl w:val="0"/>
          <w:numId w:val="28099"/>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28099"/>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textDirection w:val="lrTb"/>
      </w:pPr>
      <w:r>
        <w:rPr>
          <w:b/>
          <w:bCs/>
          <w:color w:val="00274C"/>
          <w:sz w:val="20"/>
          <w:szCs w:val="20"/>
          <w:u w:val="none"/>
        </w:rPr>
        <w:br/>
        <w:t xml:space="preserve">3.2.2 Note per l'utente finale</w:t>
      </w:r>
    </w:p>
    <w:p>
      <w:pPr>
        <w:numPr>
          <w:ilvl w:val="0"/>
          <w:numId w:val="28099"/>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28099"/>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28099"/>
        </w:numPr>
        <w:spacing w:before="0" w:after="0" w:line="240" w:lineRule="auto"/>
        <w:jc w:val="left"/>
        <w:rPr>
          <w:color w:val="00274C"/>
          <w:sz w:val="20"/>
          <w:szCs w:val="20"/>
        </w:rPr>
      </w:pPr>
      <w:r>
        <w:rPr>
          <w:color w:val="00274C"/>
          <w:sz w:val="20"/>
          <w:szCs w:val="20"/>
          <w:u w:val="none"/>
        </w:rPr>
        <w:t xml:space="preserve">All'atto dell'avviamento assicurarsi che il motore sia in posizione prossima all'orizzontale, fatte salve le specifiche della macchina.</w:t>
      </w:r>
    </w:p>
    <w:p>
      <w:pPr>
        <w:numPr>
          <w:ilvl w:val="0"/>
          <w:numId w:val="28099"/>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28099"/>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28099"/>
        </w:numPr>
        <w:spacing w:before="0" w:after="0" w:line="240" w:lineRule="auto"/>
        <w:jc w:val="left"/>
        <w:rPr>
          <w:color w:val="00274C"/>
          <w:sz w:val="20"/>
          <w:szCs w:val="20"/>
        </w:rPr>
      </w:pPr>
      <w:r>
        <w:rPr>
          <w:color w:val="00274C"/>
          <w:sz w:val="20"/>
          <w:szCs w:val="20"/>
          <w:u w:val="none"/>
        </w:rPr>
        <w:t xml:space="preserve">Per prevenire rischi d'incendio mantenere la macchina ad almeno un metro da edifici o da altri macchinari.</w:t>
      </w:r>
    </w:p>
    <w:p>
      <w:pPr>
        <w:numPr>
          <w:ilvl w:val="0"/>
          <w:numId w:val="28099"/>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28099"/>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w:t>
      </w:r>
      <w:r>
        <w:rPr>
          <w:color w:val="00274C"/>
          <w:sz w:val="20"/>
          <w:szCs w:val="20"/>
          <w:u w:val="none"/>
        </w:rPr>
        <w:t xml:space="preserve">Utilizzare esclusivamente acqua e/o prodotti adeguati alla pulizia del motore.</w:t>
      </w:r>
      <w:r>
        <w:rPr>
          <w:color w:val="00274C"/>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28099"/>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28099"/>
        </w:numPr>
        <w:spacing w:before="0" w:after="0" w:line="240" w:lineRule="auto"/>
        <w:jc w:val="left"/>
        <w:rPr>
          <w:color w:val="00274C"/>
          <w:sz w:val="20"/>
          <w:szCs w:val="20"/>
        </w:rPr>
      </w:pPr>
      <w:r>
        <w:rPr>
          <w:color w:val="00274C"/>
          <w:sz w:val="20"/>
          <w:szCs w:val="20"/>
          <w:u w:val="none"/>
        </w:rPr>
        <w:t xml:space="preserve">Accertarsi che eventuali pannelli fonoassorbenti e il terreno sul quale si trova la macchina siano privi di residui di carburanti.</w:t>
      </w:r>
    </w:p>
    <w:p>
      <w:pPr>
        <w:numPr>
          <w:ilvl w:val="0"/>
          <w:numId w:val="28099"/>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28099"/>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numPr>
          <w:ilvl w:val="0"/>
          <w:numId w:val="28099"/>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28099"/>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28099"/>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28099"/>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28099"/>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28099"/>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28099"/>
        </w:numPr>
        <w:spacing w:before="0" w:after="0" w:line="240" w:lineRule="auto"/>
        <w:jc w:val="left"/>
        <w:rPr>
          <w:color w:val="00274C"/>
          <w:sz w:val="20"/>
          <w:szCs w:val="20"/>
        </w:rPr>
      </w:pPr>
      <w:r>
        <w:rPr>
          <w:color w:val="00274C"/>
          <w:sz w:val="20"/>
          <w:szCs w:val="20"/>
          <w:u w:val="none"/>
        </w:rPr>
        <w:t xml:space="preserve">Ove prevista una elettroventola non avvicinarsi ad essa se il motore è caldo perché potrebbe entrare in funzione anche a motore spento.</w:t>
      </w:r>
    </w:p>
    <w:p>
      <w:pPr>
        <w:numPr>
          <w:ilvl w:val="0"/>
          <w:numId w:val="28099"/>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28099"/>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28099"/>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28099"/>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28099"/>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28099"/>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28099"/>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KOHLER</w:t>
      </w:r>
      <w:r>
        <w:rPr>
          <w:color w:val="00274C"/>
          <w:sz w:val="20"/>
          <w:szCs w:val="20"/>
          <w:u w:val="none"/>
        </w:rPr>
        <w:t xml:space="preserve"> .</w:t>
      </w:r>
    </w:p>
    <w:p>
      <w:pPr>
        <w:numPr>
          <w:ilvl w:val="0"/>
          <w:numId w:val="28099"/>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28099"/>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28099"/>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266648" name="name923860d0a238bffc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60260d0a238bffb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8099"/>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dal </w:t>
      </w:r>
      <w:r>
        <w:rPr>
          <w:b/>
          <w:bCs/>
          <w:color w:val="00274C"/>
          <w:sz w:val="20"/>
          <w:szCs w:val="20"/>
          <w:u w:val="none"/>
        </w:rPr>
        <w:t xml:space="preserve">KOHLER Fig. 3.1</w:t>
      </w:r>
    </w:p>
    <w:p>
      <w:pPr>
        <w:numPr>
          <w:ilvl w:val="0"/>
          <w:numId w:val="28099"/>
        </w:numPr>
        <w:spacing w:before="0" w:after="0" w:line="240" w:lineRule="auto"/>
        <w:jc w:val="left"/>
        <w:rPr>
          <w:color w:val="00274C"/>
          <w:sz w:val="20"/>
          <w:szCs w:val="20"/>
        </w:rPr>
      </w:pPr>
      <w:r>
        <w:rPr>
          <w:color w:val="00274C"/>
          <w:sz w:val="20"/>
          <w:szCs w:val="20"/>
          <w:u w:val="none"/>
        </w:rPr>
        <w:br/>
        <w:t xml:space="preserve">L'angolo tra ogni catena di sollevamento e l'angolazione dei gofari non deve superare i 15° verso l'interno.</w:t>
      </w:r>
    </w:p>
    <w:p>
      <w:pPr>
        <w:numPr>
          <w:ilvl w:val="0"/>
          <w:numId w:val="28099"/>
        </w:numPr>
        <w:spacing w:before="0" w:after="0" w:line="240" w:lineRule="auto"/>
        <w:jc w:val="left"/>
        <w:rPr>
          <w:color w:val="00274C"/>
          <w:sz w:val="20"/>
          <w:szCs w:val="20"/>
        </w:rPr>
      </w:pPr>
      <w:r>
        <w:rPr>
          <w:color w:val="00274C"/>
          <w:sz w:val="20"/>
          <w:szCs w:val="20"/>
          <w:u w:val="none"/>
        </w:rPr>
        <w:t xml:space="preserve">Il corretto serraggio delle viti di sollevamento è 25Nm.</w:t>
      </w:r>
    </w:p>
    <w:p>
      <w:pPr>
        <w:numPr>
          <w:ilvl w:val="0"/>
          <w:numId w:val="28099"/>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numPr>
          <w:ilvl w:val="0"/>
          <w:numId w:val="28099"/>
        </w:numPr>
        <w:spacing w:before="0" w:after="0" w:line="240" w:lineRule="auto"/>
        <w:jc w:val="left"/>
        <w:rPr>
          <w:color w:val="00274C"/>
          <w:sz w:val="20"/>
          <w:szCs w:val="20"/>
        </w:rPr>
      </w:pPr>
      <w:r>
        <w:rPr>
          <w:color w:val="00274C"/>
          <w:sz w:val="20"/>
          <w:szCs w:val="20"/>
          <w:u w:val="none"/>
        </w:rPr>
        <w:t xml:space="preserve">Per i motori provvisti di dispositivo ATS, è necessario inibire la rigenerazione se si utilizza il motore in ambienti a rischio di incendio (es: aree boschive, aree con materiali infiammabili, aree con gas o liquidi infiammabili e qualsiasi tipo di materiale combustibile - se la funzione è disponibile).</w:t>
      </w:r>
    </w:p>
    <w:p>
      <w:pPr>
        <w:widowControl w:val="on"/>
        <w:pBdr/>
        <w:spacing w:before="225" w:after="225" w:line="262" w:lineRule="auto"/>
        <w:ind w:left="0" w:right="0"/>
        <w:jc w:val="left"/>
        <w:textDirection w:val="lrTb"/>
      </w:pPr>
      <w:r>
        <w:drawing>
          <wp:inline distT="0" distB="0" distL="0" distR="0">
            <wp:extent cx="4752000" cy="2995200"/>
            <wp:effectExtent b="0" l="0" r="0" t="0"/>
            <wp:docPr id="18882550" name="name782860d0a238da9b9"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909360d0a238da9b1"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28099"/>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28099"/>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28099"/>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28099"/>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8578880" name="name268060d0a238e9503"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554360d0a238e94fd"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10769116" name="name502160d0a23903ef8"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152660d0a23903ef4"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61365166" name="name824660d0a23915235"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626460d0a23915230"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26868998" name="name346360d0a23927679"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81760d0a23927672"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52619053" name="name727860d0a2393581a"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702360d0a23935812"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68988192" name="name133160d0a2394832b"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12460d0a23948326"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28280609" name="name626560d0a239583d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01860d0a239583d1"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88140555" name="name825060d0a2396654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44260d0a2396653e"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84463862" name="name426060d0a23977aee"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106860d0a23977aea"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60335833" name="name318160d0a2398651c"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447060d0a23986514"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30048878" name="name995260d0a239952e0"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127560d0a239952d8"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3451703" name="name134960d0a239a2d1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30260d0a239a2d1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AVVIAMENTO ACCIDENTALE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8096981" name="name925760d0a239b4546"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263860d0a239b4542"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0217750" name="name820060d0a239c2d69"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246960d0a239c2d65"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6200542" name="name366260d0a239d26cb"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990560d0a239d26c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2937178" name="name220860d0a239e1f5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4060d0a239e1f4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COMPONENTI AD ALTA TEMPERATURA</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177844" name="name798460d0a239ef0ec"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947160d0a239ef0e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7676401" name="name731860d0a23a0a92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86460d0a23a0a92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PARTI ROTANTI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9407098" name="name795360d0a23a1cbe0"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82360d0a23a1cbd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7280053" name="name734660d0a23a2cde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0860d0a23a2cdd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DI SCARICO LETALI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6433929" name="name946260d0a23a3da6a"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977960d0a23a3da66"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5811509" name="name124260d0a23a4cce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13160d0a23a4cce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SCOSSE ELETTRICHE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34181960" name="name561660d0a23a5d740"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375060d0a23a5d73c"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9190775" name="name455660d0a23a6c6d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31060d0a23a6c6c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FLUIDO SOTTO ALTA PRESSIONE PERICOLO DI PENETRAZIONE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4906923" name="name359560d0a23a823a3"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509460d0a23a8239d"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7293103" name="name887760d0a23a913f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1260d0a23a913e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CARBURANTE ESPLOSIVO</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4446709" name="name291160d0a23aa3992"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620960d0a23aa398b"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46844674" name="name365460d0a23ab3e54"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43660d0a23ab3e5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GAS ESPLOSIVI</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5130558" name="name600860d0a23ac3d9d"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786560d0a23ac3d9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3594036" name="name500560d0a23ad340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52160d0a23ad340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AVVISO - DICHIARAZIONE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Ubicazione dei segnali di sicurezza sul motore</w:t>
      </w:r>
    </w:p>
    <w:p>
      <w:pPr>
        <w:widowControl w:val="on"/>
        <w:pBdr/>
        <w:spacing w:before="225" w:after="225" w:line="262" w:lineRule="auto"/>
        <w:ind w:left="0" w:right="0"/>
        <w:jc w:val="left"/>
        <w:textDirection w:val="lrTb"/>
      </w:pPr>
      <w:r>
        <w:drawing>
          <wp:inline distT="0" distB="0" distL="0" distR="0">
            <wp:extent cx="4752000" cy="2743200"/>
            <wp:effectExtent b="0" l="0" r="0" t="0"/>
            <wp:docPr id="46639702" name="name718560d0a23aeb7d9"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788160d0a23aeb7d0"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100">
    <w:multiLevelType w:val="hybridMultilevel"/>
    <w:lvl w:ilvl="0" w:tplc="25939444">
      <w:start w:val="1"/>
      <w:numFmt w:val="decimal"/>
      <w:lvlText w:val="%1."/>
      <w:lvlJc w:val="left"/>
      <w:pPr>
        <w:ind w:left="720" w:hanging="360"/>
      </w:pPr>
    </w:lvl>
    <w:lvl w:ilvl="1" w:tplc="25939444" w:tentative="1">
      <w:start w:val="1"/>
      <w:numFmt w:val="lowerLetter"/>
      <w:lvlText w:val="%2."/>
      <w:lvlJc w:val="left"/>
      <w:pPr>
        <w:ind w:left="1440" w:hanging="360"/>
      </w:pPr>
    </w:lvl>
    <w:lvl w:ilvl="2" w:tplc="25939444" w:tentative="1">
      <w:start w:val="1"/>
      <w:numFmt w:val="lowerRoman"/>
      <w:lvlText w:val="%3."/>
      <w:lvlJc w:val="right"/>
      <w:pPr>
        <w:ind w:left="2160" w:hanging="180"/>
      </w:pPr>
    </w:lvl>
    <w:lvl w:ilvl="3" w:tplc="25939444" w:tentative="1">
      <w:start w:val="1"/>
      <w:numFmt w:val="decimal"/>
      <w:lvlText w:val="%4."/>
      <w:lvlJc w:val="left"/>
      <w:pPr>
        <w:ind w:left="2880" w:hanging="360"/>
      </w:pPr>
    </w:lvl>
    <w:lvl w:ilvl="4" w:tplc="25939444" w:tentative="1">
      <w:start w:val="1"/>
      <w:numFmt w:val="lowerLetter"/>
      <w:lvlText w:val="%5."/>
      <w:lvlJc w:val="left"/>
      <w:pPr>
        <w:ind w:left="3600" w:hanging="360"/>
      </w:pPr>
    </w:lvl>
    <w:lvl w:ilvl="5" w:tplc="25939444" w:tentative="1">
      <w:start w:val="1"/>
      <w:numFmt w:val="lowerRoman"/>
      <w:lvlText w:val="%6."/>
      <w:lvlJc w:val="right"/>
      <w:pPr>
        <w:ind w:left="4320" w:hanging="180"/>
      </w:pPr>
    </w:lvl>
    <w:lvl w:ilvl="6" w:tplc="25939444" w:tentative="1">
      <w:start w:val="1"/>
      <w:numFmt w:val="decimal"/>
      <w:lvlText w:val="%7."/>
      <w:lvlJc w:val="left"/>
      <w:pPr>
        <w:ind w:left="5040" w:hanging="360"/>
      </w:pPr>
    </w:lvl>
    <w:lvl w:ilvl="7" w:tplc="25939444" w:tentative="1">
      <w:start w:val="1"/>
      <w:numFmt w:val="lowerLetter"/>
      <w:lvlText w:val="%8."/>
      <w:lvlJc w:val="left"/>
      <w:pPr>
        <w:ind w:left="5760" w:hanging="360"/>
      </w:pPr>
    </w:lvl>
    <w:lvl w:ilvl="8" w:tplc="25939444" w:tentative="1">
      <w:start w:val="1"/>
      <w:numFmt w:val="lowerRoman"/>
      <w:lvlText w:val="%9."/>
      <w:lvlJc w:val="right"/>
      <w:pPr>
        <w:ind w:left="6480" w:hanging="180"/>
      </w:pPr>
    </w:lvl>
  </w:abstractNum>
  <w:abstractNum w:abstractNumId="28099">
    <w:multiLevelType w:val="hybridMultilevel"/>
    <w:lvl w:ilvl="0" w:tplc="180132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099">
    <w:abstractNumId w:val="28099"/>
  </w:num>
  <w:num w:numId="28100">
    <w:abstractNumId w:val="28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87455686" Type="http://schemas.openxmlformats.org/officeDocument/2006/relationships/comments" Target="comments.xml"/><Relationship Id="rId476674307" Type="http://schemas.microsoft.com/office/2011/relationships/commentsExtended" Target="commentsExtended.xml"/><Relationship Id="rId36171824" Type="http://schemas.openxmlformats.org/officeDocument/2006/relationships/image" Target="media/imgrId36171824.jpg"/><Relationship Id="rId560260d0a238bffba" Type="http://schemas.openxmlformats.org/officeDocument/2006/relationships/image" Target="media/imgrId560260d0a238bffba.jpg"/><Relationship Id="rId909360d0a238da9b1" Type="http://schemas.openxmlformats.org/officeDocument/2006/relationships/image" Target="media/imgrId909360d0a238da9b1.jpg"/><Relationship Id="rId554360d0a238e94fd" Type="http://schemas.openxmlformats.org/officeDocument/2006/relationships/image" Target="media/imgrId554360d0a238e94fd.jpg"/><Relationship Id="rId152660d0a23903ef4" Type="http://schemas.openxmlformats.org/officeDocument/2006/relationships/image" Target="media/imgrId152660d0a23903ef4.jpg"/><Relationship Id="rId626460d0a23915230" Type="http://schemas.openxmlformats.org/officeDocument/2006/relationships/image" Target="media/imgrId626460d0a23915230.jpg"/><Relationship Id="rId781760d0a23927672" Type="http://schemas.openxmlformats.org/officeDocument/2006/relationships/image" Target="media/imgrId781760d0a23927672.jpg"/><Relationship Id="rId702360d0a23935812" Type="http://schemas.openxmlformats.org/officeDocument/2006/relationships/image" Target="media/imgrId702360d0a23935812.jpg"/><Relationship Id="rId512460d0a23948326" Type="http://schemas.openxmlformats.org/officeDocument/2006/relationships/image" Target="media/imgrId512460d0a23948326.png"/><Relationship Id="rId201860d0a239583d1" Type="http://schemas.openxmlformats.org/officeDocument/2006/relationships/image" Target="media/imgrId201860d0a239583d1.png"/><Relationship Id="rId244260d0a2396653e" Type="http://schemas.openxmlformats.org/officeDocument/2006/relationships/image" Target="media/imgrId244260d0a2396653e.png"/><Relationship Id="rId106860d0a23977aea" Type="http://schemas.openxmlformats.org/officeDocument/2006/relationships/image" Target="media/imgrId106860d0a23977aea.jpg"/><Relationship Id="rId447060d0a23986514" Type="http://schemas.openxmlformats.org/officeDocument/2006/relationships/image" Target="media/imgrId447060d0a23986514.jpg"/><Relationship Id="rId127560d0a239952d8" Type="http://schemas.openxmlformats.org/officeDocument/2006/relationships/image" Target="media/imgrId127560d0a239952d8.jpg"/><Relationship Id="rId830260d0a239a2d1b" Type="http://schemas.openxmlformats.org/officeDocument/2006/relationships/image" Target="media/imgrId830260d0a239a2d1b.jpg"/><Relationship Id="rId263860d0a239b4542" Type="http://schemas.openxmlformats.org/officeDocument/2006/relationships/image" Target="media/imgrId263860d0a239b4542.jpg"/><Relationship Id="rId246960d0a239c2d65" Type="http://schemas.openxmlformats.org/officeDocument/2006/relationships/image" Target="media/imgrId246960d0a239c2d65.jpg"/><Relationship Id="rId990560d0a239d26c5" Type="http://schemas.openxmlformats.org/officeDocument/2006/relationships/image" Target="media/imgrId990560d0a239d26c5.jpg"/><Relationship Id="rId564060d0a239e1f4f" Type="http://schemas.openxmlformats.org/officeDocument/2006/relationships/image" Target="media/imgrId564060d0a239e1f4f.jpg"/><Relationship Id="rId947160d0a239ef0e6" Type="http://schemas.openxmlformats.org/officeDocument/2006/relationships/image" Target="media/imgrId947160d0a239ef0e6.jpg"/><Relationship Id="rId986460d0a23a0a927" Type="http://schemas.openxmlformats.org/officeDocument/2006/relationships/image" Target="media/imgrId986460d0a23a0a927.jpg"/><Relationship Id="rId882360d0a23a1cbda" Type="http://schemas.openxmlformats.org/officeDocument/2006/relationships/image" Target="media/imgrId882360d0a23a1cbda.jpg"/><Relationship Id="rId450860d0a23a2cddd" Type="http://schemas.openxmlformats.org/officeDocument/2006/relationships/image" Target="media/imgrId450860d0a23a2cddd.jpg"/><Relationship Id="rId977960d0a23a3da66" Type="http://schemas.openxmlformats.org/officeDocument/2006/relationships/image" Target="media/imgrId977960d0a23a3da66.jpg"/><Relationship Id="rId113160d0a23a4cce4" Type="http://schemas.openxmlformats.org/officeDocument/2006/relationships/image" Target="media/imgrId113160d0a23a4cce4.jpg"/><Relationship Id="rId375060d0a23a5d73c" Type="http://schemas.openxmlformats.org/officeDocument/2006/relationships/image" Target="media/imgrId375060d0a23a5d73c.jpg"/><Relationship Id="rId431060d0a23a6c6cb" Type="http://schemas.openxmlformats.org/officeDocument/2006/relationships/image" Target="media/imgrId431060d0a23a6c6cb.jpg"/><Relationship Id="rId509460d0a23a8239d" Type="http://schemas.openxmlformats.org/officeDocument/2006/relationships/image" Target="media/imgrId509460d0a23a8239d.jpg"/><Relationship Id="rId181260d0a23a913ec" Type="http://schemas.openxmlformats.org/officeDocument/2006/relationships/image" Target="media/imgrId181260d0a23a913ec.jpg"/><Relationship Id="rId620960d0a23aa398b" Type="http://schemas.openxmlformats.org/officeDocument/2006/relationships/image" Target="media/imgrId620960d0a23aa398b.jpg"/><Relationship Id="rId343660d0a23ab3e50" Type="http://schemas.openxmlformats.org/officeDocument/2006/relationships/image" Target="media/imgrId343660d0a23ab3e50.jpg"/><Relationship Id="rId786560d0a23ac3d9a" Type="http://schemas.openxmlformats.org/officeDocument/2006/relationships/image" Target="media/imgrId786560d0a23ac3d9a.jpg"/><Relationship Id="rId152160d0a23ad3403" Type="http://schemas.openxmlformats.org/officeDocument/2006/relationships/image" Target="media/imgrId152160d0a23ad3403.jpg"/><Relationship Id="rId788160d0a23aeb7d0" Type="http://schemas.openxmlformats.org/officeDocument/2006/relationships/image" Target="media/imgrId788160d0a23aeb7d0.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6171824" Type="http://schemas.openxmlformats.org/officeDocument/2006/relationships/image" Target="media/imgrId3617182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6171824" Type="http://schemas.openxmlformats.org/officeDocument/2006/relationships/image" Target="media/imgrId3617182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6171824" Type="http://schemas.openxmlformats.org/officeDocument/2006/relationships/image" Target="media/imgrId3617182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6171824" Type="http://schemas.openxmlformats.org/officeDocument/2006/relationships/image" Target="media/imgrId3617182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6171824" Type="http://schemas.openxmlformats.org/officeDocument/2006/relationships/image" Target="media/imgrId3617182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6171824" Type="http://schemas.openxmlformats.org/officeDocument/2006/relationships/image" Target="media/imgrId3617182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