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5355895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797265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2007847" w:name="ctxt"/>
    <w:bookmarkEnd w:id="32007847"/>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9376"/>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4304241" name="name2642683f1ba4dfed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076683f1ba4dfed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9376"/>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9376"/>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5528683f1ba4e2169" w:history="1">
              <w:r>
                <w:rPr>
                  <w:rStyle w:val="DefaultParagraphFontPHPDOCX"/>
                  <w:b/>
                  <w:bCs/>
                  <w:color w:val="0000FF"/>
                  <w:position w:val="-2"/>
                  <w:sz w:val="20"/>
                  <w:szCs w:val="20"/>
                  <w:u w:val="none"/>
                </w:rPr>
                <w:t xml:space="preserve">(Par 3.4.3)</w:t>
              </w:r>
            </w:hyperlink>
            <w:r>
              <w:rPr>
                <w:color w:val="00274C"/>
                <w:position w:val="-2"/>
                <w:sz w:val="20"/>
                <w:szCs w:val="20"/>
                <w:u w:val="none"/>
              </w:rPr>
              <w:t xml:space="preserve"> </w:t>
            </w:r>
            <w:r>
              <w:rPr>
                <w:b/>
                <w:bCs/>
                <w:color w:val="00274C"/>
                <w:position w:val="-2"/>
                <w:sz w:val="20"/>
                <w:szCs w:val="20"/>
                <w:u w:val="none"/>
              </w:rPr>
              <w:t xml:space="preserve">.</w:t>
            </w:r>
          </w:p>
          <w:p>
            <w:pPr>
              <w:numPr>
                <w:ilvl w:val="0"/>
                <w:numId w:val="29376"/>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29376"/>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3.3.1 Note for OEM</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When installing the </w:t>
            </w:r>
            <w:r>
              <w:rPr>
                <w:b/>
                <w:bCs/>
                <w:color w:val="00274C"/>
                <w:position w:val="-2"/>
                <w:sz w:val="20"/>
                <w:szCs w:val="20"/>
                <w:u w:val="none"/>
              </w:rPr>
              <w:t xml:space="preserve">KDI</w:t>
            </w:r>
            <w:r>
              <w:rPr>
                <w:color w:val="00274C"/>
                <w:position w:val="-2"/>
                <w:sz w:val="20"/>
                <w:szCs w:val="20"/>
                <w:u w:val="none"/>
              </w:rPr>
              <w:t xml:space="preserve"> engines, always bear in mind that any variation to the functional systems may involve serious failures to the engine.</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Any improvement must be verified at </w:t>
            </w:r>
            <w:r>
              <w:rPr>
                <w:b/>
                <w:bCs/>
                <w:color w:val="00274C"/>
                <w:position w:val="-2"/>
                <w:sz w:val="20"/>
                <w:szCs w:val="20"/>
                <w:u w:val="none"/>
              </w:rPr>
              <w:t xml:space="preserve">KOHLER</w:t>
            </w:r>
            <w:r>
              <w:rPr>
                <w:color w:val="00274C"/>
                <w:position w:val="-2"/>
                <w:sz w:val="20"/>
                <w:szCs w:val="20"/>
                <w:u w:val="none"/>
              </w:rPr>
              <w:t xml:space="preserve"> testing laboratories before application of the engine.</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In the event KOHLER does not approve the type of modification, </w:t>
            </w:r>
            <w:r>
              <w:rPr>
                <w:b/>
                <w:bCs/>
                <w:color w:val="00274C"/>
                <w:position w:val="-2"/>
                <w:sz w:val="20"/>
                <w:szCs w:val="20"/>
                <w:u w:val="none"/>
              </w:rPr>
              <w:t xml:space="preserve">KOHLER</w:t>
            </w:r>
            <w:r>
              <w:rPr>
                <w:color w:val="00274C"/>
                <w:position w:val="-2"/>
                <w:sz w:val="20"/>
                <w:szCs w:val="20"/>
                <w:u w:val="none"/>
              </w:rPr>
              <w:t xml:space="preserve"> shall not be held responsible for any consequential operation anomalies that the engine may undergo and any damage the engine may cause to persons and things.</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The engine may only be assembled on a machine by personnel specifically trained by </w:t>
            </w:r>
            <w:r>
              <w:rPr>
                <w:b/>
                <w:bCs/>
                <w:color w:val="00274C"/>
                <w:position w:val="-2"/>
                <w:sz w:val="20"/>
                <w:szCs w:val="20"/>
                <w:u w:val="none"/>
              </w:rPr>
              <w:t xml:space="preserve">KOHLER</w:t>
            </w:r>
            <w:r>
              <w:rPr>
                <w:color w:val="00274C"/>
                <w:position w:val="-2"/>
                <w:sz w:val="20"/>
                <w:szCs w:val="20"/>
                <w:u w:val="none"/>
              </w:rPr>
              <w:t xml:space="preserve"> and who work in compliance with the existing documentation.</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 which therefore declines all responsibility for accidents</w:t>
            </w:r>
            <w:r>
              <w:rPr>
                <w:color w:val="00274C"/>
                <w:position w:val="-2"/>
                <w:sz w:val="20"/>
                <w:szCs w:val="20"/>
                <w:u w:val="none"/>
              </w:rPr>
              <w:br/>
              <w:t xml:space="preserve">caused by such operations.</w:t>
            </w:r>
          </w:p>
          <w:p>
            <w:pPr>
              <w:widowControl w:val="on"/>
              <w:pBdr/>
              <w:spacing w:before="0" w:after="0" w:line="262" w:lineRule="auto"/>
              <w:ind w:left="0" w:right="0"/>
              <w:jc w:val="left"/>
              <w:textAlignment w:val="center"/>
            </w:pPr>
            <w:r>
              <w:rPr>
                <w:b/>
                <w:bCs/>
                <w:color w:val="00274C"/>
                <w:position w:val="-2"/>
                <w:sz w:val="20"/>
                <w:szCs w:val="20"/>
                <w:u w:val="none"/>
              </w:rPr>
              <w:br/>
              <w:t xml:space="preserve">3.3.2 Note for end user</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On starting, make sure that the engine is as horizontal as possible, unless the machine specifications differ.</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Make sure that the machine is stable to prevent the risk of overturning.</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To prevent fire hazards, always keep the machine at least one meter from buildings or from other machinery.</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Children and animals must be kept at a due distance from operating machines in order to prevent hazards deriving from their operation.</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Fuel vapour is highly toxic. Only refuel outdoors or in a well ventilated place.</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Make sure that no soundproofing panels and the ground or floor on which the machine is standing have not soaked up any fuel.</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The engine may only be assembled on a machine by personnel specifically trained by </w:t>
            </w:r>
            <w:r>
              <w:rPr>
                <w:b/>
                <w:bCs/>
                <w:color w:val="00274C"/>
                <w:position w:val="-2"/>
                <w:sz w:val="20"/>
                <w:szCs w:val="20"/>
                <w:u w:val="none"/>
              </w:rPr>
              <w:t xml:space="preserve">KOHLER</w:t>
            </w:r>
            <w:r>
              <w:rPr>
                <w:color w:val="00274C"/>
                <w:position w:val="-2"/>
                <w:sz w:val="20"/>
                <w:szCs w:val="20"/>
                <w:u w:val="none"/>
              </w:rPr>
              <w:t xml:space="preserve"> and who work in compliance with the existing documentation.</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 which therefore declines all responsibility for accidents</w:t>
            </w:r>
            <w:r>
              <w:rPr>
                <w:color w:val="00274C"/>
                <w:position w:val="-2"/>
                <w:sz w:val="20"/>
                <w:szCs w:val="20"/>
                <w:u w:val="none"/>
              </w:rPr>
              <w:br/>
              <w:t xml:space="preserve">caused by such operations.</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Fuel vapour is highly toxic. Only refuel outdoors or in a well ventilated place.</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Do not smoke or use open flames when refuelling.</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During operation, the surface of the engine can become dangerously hot. Avoid touching the exhaust system in particular.</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Before proceeding with any operation on the engine, stop it and allow it to cool.</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Always open the radiator plug or expansion chamber with the utmost caution, wearing protective garments and goggles.</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The coolant fluid is under pressure. Never carry out any inspections until the engine has cooled.</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If there is an electric fan, do not approach the engine when it is still hot as the fan could also start operating when the engine is at a standstill.</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Check belt tension only when the engine is off.</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Fully tighten the tank cap each time after refuelling. Do not fill the tank right to the top but leave an adequate space for the fuel to expand.</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Before starting, remove any tools that were used to service the engine and/or machine. Make sure that all guards have been refitted.</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Pay attention to the temperature of the oil filter when the filter itself is replaced.</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Do not use jets of air and water at high pressure on the cables, connectors and electronic injectors.</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For engines equipped with ATS device, it is necessary to inhibit regeneration if using the engine in environments featuring risk of fire (e.g.: woods, areas containing flammable materials, areas containing flammable gas or liquids and any type of combustible material - if this function is available).</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03333" name="name3044683f1ba4ef6e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049683f1ba4ef6d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Only use the eyebolts </w:t>
            </w:r>
            <w:r>
              <w:rPr>
                <w:b/>
                <w:bCs/>
                <w:color w:val="00274C"/>
                <w:position w:val="-2"/>
                <w:sz w:val="20"/>
                <w:szCs w:val="20"/>
                <w:u w:val="none"/>
              </w:rPr>
              <w:t xml:space="preserve">A</w:t>
            </w:r>
            <w:r>
              <w:rPr>
                <w:color w:val="00274C"/>
                <w:position w:val="-2"/>
                <w:sz w:val="20"/>
                <w:szCs w:val="20"/>
                <w:u w:val="none"/>
              </w:rPr>
              <w:t xml:space="preserve"> installed by </w:t>
            </w:r>
            <w:r>
              <w:rPr>
                <w:b/>
                <w:bCs/>
                <w:color w:val="00274C"/>
                <w:position w:val="-2"/>
                <w:sz w:val="20"/>
                <w:szCs w:val="20"/>
                <w:u w:val="none"/>
              </w:rPr>
              <w:t xml:space="preserve">KOHLER</w:t>
            </w:r>
            <w:r>
              <w:rPr>
                <w:color w:val="00274C"/>
                <w:position w:val="-2"/>
                <w:sz w:val="20"/>
                <w:szCs w:val="20"/>
                <w:u w:val="none"/>
              </w:rPr>
              <w:t xml:space="preserve"> to move the engine </w:t>
            </w:r>
            <w:r>
              <w:rPr>
                <w:b/>
                <w:bCs/>
                <w:color w:val="00274C"/>
                <w:position w:val="-2"/>
                <w:sz w:val="20"/>
                <w:szCs w:val="20"/>
                <w:u w:val="none"/>
              </w:rPr>
              <w:t xml:space="preserve">(Fig. 3.1).</w:t>
            </w:r>
          </w:p>
          <w:p>
            <w:pPr>
              <w:numPr>
                <w:ilvl w:val="0"/>
                <w:numId w:val="29376"/>
              </w:numPr>
              <w:spacing w:before="0" w:after="0" w:line="262" w:lineRule="auto"/>
              <w:jc w:val="left"/>
              <w:rPr>
                <w:color w:val="00274C"/>
                <w:sz w:val="20"/>
                <w:szCs w:val="20"/>
              </w:rPr>
            </w:pPr>
            <w:r>
              <w:rPr>
                <w:color w:val="00274C"/>
                <w:position w:val="-2"/>
                <w:sz w:val="20"/>
                <w:szCs w:val="20"/>
                <w:u w:val="none"/>
              </w:rPr>
              <w:br/>
              <w:t xml:space="preserve">The angle between each lifting chain and the eyebolts shall not exceed 15° inwards.</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The correct tightening of the lifting brace capscrews is </w:t>
            </w:r>
            <w:r>
              <w:rPr>
                <w:b/>
                <w:bCs/>
                <w:color w:val="00274C"/>
                <w:position w:val="-2"/>
                <w:sz w:val="20"/>
                <w:szCs w:val="20"/>
                <w:u w:val="none"/>
              </w:rPr>
              <w:t xml:space="preserve">25 Nm</w:t>
            </w:r>
            <w:r>
              <w:rPr>
                <w:color w:val="00274C"/>
                <w:position w:val="-2"/>
                <w:sz w:val="20"/>
                <w:szCs w:val="20"/>
                <w:u w:val="none"/>
              </w:rPr>
              <w:t xml:space="preserve"> .</w:t>
            </w:r>
          </w:p>
          <w:p>
            <w:pPr>
              <w:numPr>
                <w:ilvl w:val="0"/>
                <w:numId w:val="29376"/>
              </w:numPr>
              <w:spacing w:before="0" w:after="0" w:line="262" w:lineRule="auto"/>
              <w:jc w:val="left"/>
              <w:rPr>
                <w:color w:val="00274C"/>
                <w:sz w:val="20"/>
                <w:szCs w:val="20"/>
              </w:rPr>
            </w:pPr>
            <w:r>
              <w:rPr>
                <w:color w:val="00274C"/>
                <w:position w:val="-2"/>
                <w:sz w:val="20"/>
                <w:szCs w:val="20"/>
                <w:u w:val="none"/>
              </w:rPr>
              <w:t xml:space="preserve">Do not interpose spacers or washers between the eyebolts and engine head.</w:t>
            </w:r>
          </w:p>
          <w:p>
            <w:pPr>
              <w:widowControl w:val="on"/>
              <w:pBdr/>
              <w:spacing w:before="0" w:after="0" w:line="262" w:lineRule="auto"/>
              <w:ind w:left="0" w:right="0"/>
              <w:jc w:val="left"/>
              <w:textAlignment w:val="center"/>
            </w:pPr>
            <w:r>
              <w:rPr>
                <w:position w:val="-235"/>
              </w:rPr>
              <w:drawing>
                <wp:inline distT="0" distB="0" distL="0" distR="0">
                  <wp:extent cx="4752000" cy="2995200"/>
                  <wp:effectExtent b="0" l="0" r="0" t="0"/>
                  <wp:docPr id="34432588" name="name6025683f1ba50ae3e" descr="note_genera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_generali_1.jpg"/>
                          <pic:cNvPicPr/>
                        </pic:nvPicPr>
                        <pic:blipFill>
                          <a:blip r:embed="rId7821683f1ba50ae3a" cstate="print"/>
                          <a:stretch>
                            <a:fillRect/>
                          </a:stretch>
                        </pic:blipFill>
                        <pic:spPr>
                          <a:xfrm>
                            <a:off x="0" y="0"/>
                            <a:ext cx="4752000" cy="2995200"/>
                          </a:xfrm>
                          <a:prstGeom prst="rect">
                            <a:avLst/>
                          </a:prstGeom>
                          <a:ln w="0">
                            <a:noFill/>
                          </a:ln>
                        </pic:spPr>
                      </pic:pic>
                    </a:graphicData>
                  </a:graphic>
                </wp:inline>
              </w:drawing>
            </w:r>
            <w:r>
              <w:rPr>
                <w:b/>
                <w:bCs/>
                <w:color w:val="00274C"/>
                <w:position w:val="-2"/>
                <w:sz w:val="20"/>
                <w:szCs w:val="20"/>
                <w:u w:val="none"/>
              </w:rPr>
              <w:br/>
              <w:br/>
              <w:t xml:space="preserve">Fig 3.1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p>
      <w:pPr>
        <w:numPr>
          <w:ilvl w:val="0"/>
          <w:numId w:val="29376"/>
        </w:numPr>
        <w:spacing w:before="0" w:after="0" w:line="240" w:lineRule="auto"/>
        <w:jc w:val="left"/>
        <w:rPr>
          <w:color w:val="00274C"/>
          <w:sz w:val="20"/>
          <w:szCs w:val="20"/>
        </w:rPr>
      </w:pPr>
      <w:r>
        <w:rPr>
          <w:color w:val="00274C"/>
          <w:sz w:val="20"/>
          <w:szCs w:val="20"/>
          <w:u w:val="none"/>
        </w:rPr>
        <w:t xml:space="preserve">To ensure safe operation please read the following statements and understand their meaning.</w:t>
      </w:r>
    </w:p>
    <w:p>
      <w:pPr>
        <w:numPr>
          <w:ilvl w:val="0"/>
          <w:numId w:val="29376"/>
        </w:numPr>
        <w:spacing w:before="0" w:after="0" w:line="240" w:lineRule="auto"/>
        <w:jc w:val="left"/>
        <w:rPr>
          <w:color w:val="00274C"/>
          <w:sz w:val="20"/>
          <w:szCs w:val="20"/>
        </w:rPr>
      </w:pPr>
      <w:r>
        <w:rPr>
          <w:color w:val="00274C"/>
          <w:sz w:val="20"/>
          <w:szCs w:val="20"/>
          <w:u w:val="none"/>
        </w:rPr>
        <w:t xml:space="preserve">Also refer to your equipment manufacturer's manual for other important safety information.</w:t>
      </w:r>
    </w:p>
    <w:p>
      <w:pPr>
        <w:numPr>
          <w:ilvl w:val="0"/>
          <w:numId w:val="29376"/>
        </w:numPr>
        <w:spacing w:before="0" w:after="0" w:line="240" w:lineRule="auto"/>
        <w:jc w:val="left"/>
        <w:rPr>
          <w:color w:val="00274C"/>
          <w:sz w:val="20"/>
          <w:szCs w:val="20"/>
        </w:rPr>
      </w:pPr>
      <w:r>
        <w:rPr>
          <w:color w:val="00274C"/>
          <w:sz w:val="20"/>
          <w:szCs w:val="20"/>
          <w:u w:val="none"/>
        </w:rPr>
        <w:t xml:space="preserve">This manual contains safety precautions which are explained below.</w:t>
      </w:r>
    </w:p>
    <w:p>
      <w:pPr>
        <w:numPr>
          <w:ilvl w:val="0"/>
          <w:numId w:val="29376"/>
        </w:numPr>
        <w:spacing w:before="0" w:after="0" w:line="240" w:lineRule="auto"/>
        <w:jc w:val="left"/>
        <w:rPr>
          <w:color w:val="00274C"/>
          <w:sz w:val="20"/>
          <w:szCs w:val="20"/>
        </w:rPr>
      </w:pPr>
      <w:r>
        <w:rPr>
          <w:color w:val="00274C"/>
          <w:sz w:val="20"/>
          <w:szCs w:val="20"/>
          <w:u w:val="none"/>
        </w:rPr>
        <w:t xml:space="preserve">Please read them carefully.</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3.4.1 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Mar>
              <w:top w:w="150" w:type="dxa"/>
              <w:left w:w="150" w:type="dxa"/>
              <w:bottom w:w="150" w:type="dxa"/>
              <w:right w:w="150" w:type="dxa"/>
            </w:tcMar>
            <w:vAlign w:val="center"/>
          </w:tcPr>
          <w:p>
            <w:r>
              <w:rPr>
                <w:position w:val="-52"/>
              </w:rPr>
              <w:drawing>
                <wp:inline distT="0" distB="0" distL="0" distR="0">
                  <wp:extent cx="360000" cy="727200"/>
                  <wp:effectExtent b="0" l="0" r="0" t="0"/>
                  <wp:docPr id="66477962" name="name8401683f1ba5143f1"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7462683f1ba5143ed" cstate="print"/>
                          <a:stretch>
                            <a:fillRect/>
                          </a:stretch>
                        </pic:blipFill>
                        <pic:spPr>
                          <a:xfrm>
                            <a:off x="0" y="0"/>
                            <a:ext cx="360000" cy="7272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Mar>
              <w:top w:w="150" w:type="dxa"/>
              <w:left w:w="150" w:type="dxa"/>
              <w:bottom w:w="150" w:type="dxa"/>
              <w:right w:w="150" w:type="dxa"/>
            </w:tcMar>
            <w:vAlign w:val="center"/>
          </w:tcPr>
          <w:p>
            <w:r>
              <w:rPr>
                <w:position w:val="-51"/>
              </w:rPr>
              <w:drawing>
                <wp:inline distT="0" distB="0" distL="0" distR="0">
                  <wp:extent cx="360000" cy="720000"/>
                  <wp:effectExtent b="0" l="0" r="0" t="0"/>
                  <wp:docPr id="6100414" name="name6171683f1ba51e559"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7232683f1ba51e555" cstate="print"/>
                          <a:stretch>
                            <a:fillRect/>
                          </a:stretch>
                        </pic:blipFill>
                        <pic:spPr>
                          <a:xfrm>
                            <a:off x="0" y="0"/>
                            <a:ext cx="360000" cy="720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Mar>
              <w:top w:w="150" w:type="dxa"/>
              <w:left w:w="150" w:type="dxa"/>
              <w:bottom w:w="150" w:type="dxa"/>
              <w:right w:w="150" w:type="dxa"/>
            </w:tcMar>
            <w:vAlign w:val="center"/>
          </w:tcPr>
          <w:p>
            <w:r>
              <w:rPr>
                <w:position w:val="-52"/>
              </w:rPr>
              <w:drawing>
                <wp:inline distT="0" distB="0" distL="0" distR="0">
                  <wp:extent cx="360000" cy="727200"/>
                  <wp:effectExtent b="0" l="0" r="0" t="0"/>
                  <wp:docPr id="57424315" name="name5786683f1ba528d0c"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2397683f1ba528d08" cstate="print"/>
                          <a:stretch>
                            <a:fillRect/>
                          </a:stretch>
                        </pic:blipFill>
                        <pic:spPr>
                          <a:xfrm>
                            <a:off x="0" y="0"/>
                            <a:ext cx="360000" cy="7272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Mar>
              <w:top w:w="150" w:type="dxa"/>
              <w:left w:w="150" w:type="dxa"/>
              <w:bottom w:w="150" w:type="dxa"/>
              <w:right w:w="150" w:type="dxa"/>
            </w:tcMar>
            <w:vAlign w:val="center"/>
          </w:tcPr>
          <w:p>
            <w:r>
              <w:rPr>
                <w:position w:val="-51"/>
              </w:rPr>
              <w:drawing>
                <wp:inline distT="0" distB="0" distL="0" distR="0">
                  <wp:extent cx="360000" cy="720000"/>
                  <wp:effectExtent b="0" l="0" r="0" t="0"/>
                  <wp:docPr id="66372712" name="name4891683f1ba532814"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1013683f1ba532810" cstate="print"/>
                          <a:stretch>
                            <a:fillRect/>
                          </a:stretch>
                        </pic:blipFill>
                        <pic:spPr>
                          <a:xfrm>
                            <a:off x="0" y="0"/>
                            <a:ext cx="360000" cy="720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57236970" name="name7878683f1ba53f482"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4920683f1ba53f47e" cstate="print"/>
                          <a:stretch>
                            <a:fillRect/>
                          </a:stretch>
                        </pic:blipFill>
                        <pic:spPr>
                          <a:xfrm>
                            <a:off x="0" y="0"/>
                            <a:ext cx="360000" cy="7272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3.4.2 </w:t>
            </w:r>
            <w:r>
              <w:rPr>
                <w:color w:val="00274C"/>
                <w:position w:val="-2"/>
                <w:sz w:val="20"/>
                <w:szCs w:val="20"/>
                <w:u w:val="none"/>
              </w:rPr>
              <w:t xml:space="preserve"> </w:t>
            </w: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Mar>
              <w:top w:w="150" w:type="dxa"/>
              <w:left w:w="150" w:type="dxa"/>
              <w:bottom w:w="150" w:type="dxa"/>
              <w:right w:w="150" w:type="dxa"/>
            </w:tcMar>
            <w:vAlign w:val="center"/>
          </w:tcPr>
          <w:p>
            <w:r>
              <w:rPr>
                <w:position w:val="-20"/>
              </w:rPr>
              <w:drawing>
                <wp:inline distT="0" distB="0" distL="0" distR="0">
                  <wp:extent cx="324000" cy="324000"/>
                  <wp:effectExtent b="0" l="0" r="0" t="0"/>
                  <wp:docPr id="26525211" name="name8216683f1ba54877c"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6665683f1ba548778" cstate="print"/>
                          <a:stretch>
                            <a:fillRect/>
                          </a:stretch>
                        </pic:blipFill>
                        <pic:spPr>
                          <a:xfrm>
                            <a:off x="0" y="0"/>
                            <a:ext cx="324000" cy="324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Mar>
              <w:top w:w="150" w:type="dxa"/>
              <w:left w:w="150" w:type="dxa"/>
              <w:bottom w:w="150" w:type="dxa"/>
              <w:right w:w="150" w:type="dxa"/>
            </w:tcMar>
            <w:vAlign w:val="center"/>
          </w:tcPr>
          <w:p>
            <w:r>
              <w:rPr>
                <w:position w:val="-20"/>
              </w:rPr>
              <w:drawing>
                <wp:inline distT="0" distB="0" distL="0" distR="0">
                  <wp:extent cx="324000" cy="324000"/>
                  <wp:effectExtent b="0" l="0" r="0" t="0"/>
                  <wp:docPr id="61357002" name="name9460683f1ba55050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346683f1ba550505" cstate="print"/>
                          <a:stretch>
                            <a:fillRect/>
                          </a:stretch>
                        </pic:blipFill>
                        <pic:spPr>
                          <a:xfrm>
                            <a:off x="0" y="0"/>
                            <a:ext cx="324000" cy="324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shd w:val="clear" w:color="auto" w:fill="FFFFFF"/>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Mar>
              <w:top w:w="150" w:type="dxa"/>
              <w:left w:w="150" w:type="dxa"/>
              <w:bottom w:w="150" w:type="dxa"/>
              <w:right w:w="150" w:type="dxa"/>
            </w:tcMar>
            <w:vAlign w:val="center"/>
          </w:tcPr>
          <w:p>
            <w:r>
              <w:rPr>
                <w:position w:val="-20"/>
              </w:rPr>
              <w:drawing>
                <wp:inline distT="0" distB="0" distL="0" distR="0">
                  <wp:extent cx="324000" cy="324000"/>
                  <wp:effectExtent b="0" l="0" r="0" t="0"/>
                  <wp:docPr id="92039261" name="name9551683f1ba558d30"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965683f1ba558d2d" cstate="print"/>
                          <a:stretch>
                            <a:fillRect/>
                          </a:stretch>
                        </pic:blipFill>
                        <pic:spPr>
                          <a:xfrm>
                            <a:off x="0" y="0"/>
                            <a:ext cx="324000" cy="324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3.4.3 </w:t>
            </w:r>
            <w:r>
              <w:rPr>
                <w:color w:val="00274C"/>
                <w:position w:val="-2"/>
                <w:sz w:val="20"/>
                <w:szCs w:val="20"/>
                <w:u w:val="none"/>
              </w:rPr>
              <w:t xml:space="preserve"> </w:t>
            </w: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Mar>
              <w:top w:w="150" w:type="dxa"/>
              <w:left w:w="150" w:type="dxa"/>
              <w:bottom w:w="150" w:type="dxa"/>
              <w:right w:w="150" w:type="dxa"/>
            </w:tcMar>
            <w:vAlign w:val="center"/>
          </w:tcPr>
          <w:p>
            <w:r>
              <w:rPr>
                <w:position w:val="-22"/>
              </w:rPr>
              <w:drawing>
                <wp:inline distT="0" distB="0" distL="0" distR="0">
                  <wp:extent cx="360000" cy="352800"/>
                  <wp:effectExtent b="0" l="0" r="0" t="0"/>
                  <wp:docPr id="36812950" name="name5672683f1ba560250"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4951683f1ba56024c" cstate="print"/>
                          <a:stretch>
                            <a:fillRect/>
                          </a:stretch>
                        </pic:blipFill>
                        <pic:spPr>
                          <a:xfrm>
                            <a:off x="0" y="0"/>
                            <a:ext cx="360000" cy="3528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Mar>
              <w:top w:w="150" w:type="dxa"/>
              <w:left w:w="150" w:type="dxa"/>
              <w:bottom w:w="150" w:type="dxa"/>
              <w:right w:w="150" w:type="dxa"/>
            </w:tcMar>
            <w:vAlign w:val="center"/>
          </w:tcPr>
          <w:p>
            <w:r>
              <w:rPr>
                <w:position w:val="-24"/>
              </w:rPr>
              <w:drawing>
                <wp:inline distT="0" distB="0" distL="0" distR="0">
                  <wp:extent cx="360000" cy="381600"/>
                  <wp:effectExtent b="0" l="0" r="0" t="0"/>
                  <wp:docPr id="12501620" name="name1913683f1ba566c85"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4356683f1ba566c82" cstate="print"/>
                          <a:stretch>
                            <a:fillRect/>
                          </a:stretch>
                        </pic:blipFill>
                        <pic:spPr>
                          <a:xfrm>
                            <a:off x="0" y="0"/>
                            <a:ext cx="360000" cy="3816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Mar>
              <w:top w:w="150" w:type="dxa"/>
              <w:left w:w="150" w:type="dxa"/>
              <w:bottom w:w="150" w:type="dxa"/>
              <w:right w:w="150" w:type="dxa"/>
            </w:tcMar>
            <w:vAlign w:val="center"/>
          </w:tcPr>
          <w:p>
            <w:r>
              <w:rPr>
                <w:position w:val="-22"/>
              </w:rPr>
              <w:drawing>
                <wp:inline distT="0" distB="0" distL="0" distR="0">
                  <wp:extent cx="360000" cy="360000"/>
                  <wp:effectExtent b="0" l="0" r="0" t="0"/>
                  <wp:docPr id="30829993" name="name1374683f1ba56dd39"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8758683f1ba56dd35" cstate="print"/>
                          <a:stretch>
                            <a:fillRect/>
                          </a:stretch>
                        </pic:blipFill>
                        <pic:spPr>
                          <a:xfrm>
                            <a:off x="0" y="0"/>
                            <a:ext cx="360000" cy="360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1800355" name="name1616683f1ba575c7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831683f1ba575c7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2244215" name="name9243683f1ba57d027"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7875683f1ba57d024"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93362870" name="name2549683f1ba585671"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5472683f1ba58566d"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79792580" name="name9325683f1ba58d82c"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4376683f1ba58d82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4348399" name="name8170683f1ba59350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556683f1ba59350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2511359" name="name5855683f1ba59b37a"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2529683f1ba59b37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6243241" name="name4278683f1ba5a3c1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432683f1ba5a3c0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5443473" name="name8921683f1ba5ab426"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4256683f1ba5ab42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0386901" name="name3273683f1ba5b20d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543683f1ba5b20d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4684386" name="name1679683f1ba5ba6af"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4854683f1ba5ba6a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2603414" name="name6652683f1ba5c07e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544683f1ba5c07e2"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527318" name="name1276683f1ba5ca511"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8149683f1ba5ca50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9937352" name="name6532683f1ba5d147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089683f1ba5d147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0297145" name="name6119683f1ba5d9b73"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2951683f1ba5d9b6f"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6026120" name="name8493683f1ba5e012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192683f1ba5e012c"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2631075" name="name3159683f1ba5e7c05"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8091683f1ba5e7c01"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6939533" name="name2565683f1ba5ef26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856683f1ba5ef26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0623367" name="name8491683f1ba60397e"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2957683f1ba60397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8543663" name="name6137683f1ba60a45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508683f1ba60a45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signals on engine</w:t>
      </w:r>
    </w:p>
    <w:p>
      <w:pPr>
        <w:widowControl w:val="on"/>
        <w:pBdr/>
        <w:spacing w:before="225" w:after="225" w:line="262" w:lineRule="auto"/>
        <w:ind w:left="0" w:right="0"/>
        <w:jc w:val="left"/>
      </w:pPr>
      <w:r>
        <w:drawing>
          <wp:inline distT="0" distB="0" distL="0" distR="0">
            <wp:extent cx="5544000" cy="3261600"/>
            <wp:effectExtent b="0" l="0" r="0" t="0"/>
            <wp:docPr id="24257612" name="name4875683f1ba61d645" descr="19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3.png"/>
                    <pic:cNvPicPr/>
                  </pic:nvPicPr>
                  <pic:blipFill>
                    <a:blip r:embed="rId6836683f1ba61d641" cstate="print"/>
                    <a:stretch>
                      <a:fillRect/>
                    </a:stretch>
                  </pic:blipFill>
                  <pic:spPr>
                    <a:xfrm>
                      <a:off x="0" y="0"/>
                      <a:ext cx="5544000" cy="32616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9377">
    <w:multiLevelType w:val="hybridMultilevel"/>
    <w:lvl w:ilvl="0" w:tplc="34323622">
      <w:start w:val="1"/>
      <w:numFmt w:val="decimal"/>
      <w:lvlText w:val="%1."/>
      <w:lvlJc w:val="left"/>
      <w:pPr>
        <w:ind w:left="720" w:hanging="360"/>
      </w:pPr>
    </w:lvl>
    <w:lvl w:ilvl="1" w:tplc="34323622" w:tentative="1">
      <w:start w:val="1"/>
      <w:numFmt w:val="lowerLetter"/>
      <w:lvlText w:val="%2."/>
      <w:lvlJc w:val="left"/>
      <w:pPr>
        <w:ind w:left="1440" w:hanging="360"/>
      </w:pPr>
    </w:lvl>
    <w:lvl w:ilvl="2" w:tplc="34323622" w:tentative="1">
      <w:start w:val="1"/>
      <w:numFmt w:val="lowerRoman"/>
      <w:lvlText w:val="%3."/>
      <w:lvlJc w:val="right"/>
      <w:pPr>
        <w:ind w:left="2160" w:hanging="180"/>
      </w:pPr>
    </w:lvl>
    <w:lvl w:ilvl="3" w:tplc="34323622" w:tentative="1">
      <w:start w:val="1"/>
      <w:numFmt w:val="decimal"/>
      <w:lvlText w:val="%4."/>
      <w:lvlJc w:val="left"/>
      <w:pPr>
        <w:ind w:left="2880" w:hanging="360"/>
      </w:pPr>
    </w:lvl>
    <w:lvl w:ilvl="4" w:tplc="34323622" w:tentative="1">
      <w:start w:val="1"/>
      <w:numFmt w:val="lowerLetter"/>
      <w:lvlText w:val="%5."/>
      <w:lvlJc w:val="left"/>
      <w:pPr>
        <w:ind w:left="3600" w:hanging="360"/>
      </w:pPr>
    </w:lvl>
    <w:lvl w:ilvl="5" w:tplc="34323622" w:tentative="1">
      <w:start w:val="1"/>
      <w:numFmt w:val="lowerRoman"/>
      <w:lvlText w:val="%6."/>
      <w:lvlJc w:val="right"/>
      <w:pPr>
        <w:ind w:left="4320" w:hanging="180"/>
      </w:pPr>
    </w:lvl>
    <w:lvl w:ilvl="6" w:tplc="34323622" w:tentative="1">
      <w:start w:val="1"/>
      <w:numFmt w:val="decimal"/>
      <w:lvlText w:val="%7."/>
      <w:lvlJc w:val="left"/>
      <w:pPr>
        <w:ind w:left="5040" w:hanging="360"/>
      </w:pPr>
    </w:lvl>
    <w:lvl w:ilvl="7" w:tplc="34323622" w:tentative="1">
      <w:start w:val="1"/>
      <w:numFmt w:val="lowerLetter"/>
      <w:lvlText w:val="%8."/>
      <w:lvlJc w:val="left"/>
      <w:pPr>
        <w:ind w:left="5760" w:hanging="360"/>
      </w:pPr>
    </w:lvl>
    <w:lvl w:ilvl="8" w:tplc="34323622" w:tentative="1">
      <w:start w:val="1"/>
      <w:numFmt w:val="lowerRoman"/>
      <w:lvlText w:val="%9."/>
      <w:lvlJc w:val="right"/>
      <w:pPr>
        <w:ind w:left="6480" w:hanging="180"/>
      </w:pPr>
    </w:lvl>
  </w:abstractNum>
  <w:abstractNum w:abstractNumId="29376">
    <w:multiLevelType w:val="hybridMultilevel"/>
    <w:lvl w:ilvl="0" w:tplc="98821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9376">
    <w:abstractNumId w:val="29376"/>
  </w:num>
  <w:num w:numId="29377">
    <w:abstractNumId w:val="293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63085172" Type="http://schemas.openxmlformats.org/officeDocument/2006/relationships/comments" Target="comments.xml"/><Relationship Id="rId990677716" Type="http://schemas.microsoft.com/office/2011/relationships/commentsExtended" Target="commentsExtended.xml"/><Relationship Id="rId67972658" Type="http://schemas.openxmlformats.org/officeDocument/2006/relationships/image" Target="media/imgrId67972658.jpg"/><Relationship Id="rId5528683f1ba4e2169" Type="http://schemas.openxmlformats.org/officeDocument/2006/relationships/hyperlink" Target="https://iservice.lombardini.it/jsp/Template2/manuale.jsp?id=199&amp;parent=1000" TargetMode="External"/><Relationship Id="rId3076683f1ba4dfed2" Type="http://schemas.openxmlformats.org/officeDocument/2006/relationships/image" Target="media/imgrId3076683f1ba4dfed2.jpg"/><Relationship Id="rId2049683f1ba4ef6df" Type="http://schemas.openxmlformats.org/officeDocument/2006/relationships/image" Target="media/imgrId2049683f1ba4ef6df.jpg"/><Relationship Id="rId7821683f1ba50ae3a" Type="http://schemas.openxmlformats.org/officeDocument/2006/relationships/image" Target="media/imgrId7821683f1ba50ae3a.jpg"/><Relationship Id="rId7462683f1ba5143ed" Type="http://schemas.openxmlformats.org/officeDocument/2006/relationships/image" Target="media/imgrId7462683f1ba5143ed.jpg"/><Relationship Id="rId7232683f1ba51e555" Type="http://schemas.openxmlformats.org/officeDocument/2006/relationships/image" Target="media/imgrId7232683f1ba51e555.jpg"/><Relationship Id="rId2397683f1ba528d08" Type="http://schemas.openxmlformats.org/officeDocument/2006/relationships/image" Target="media/imgrId2397683f1ba528d08.jpg"/><Relationship Id="rId1013683f1ba532810" Type="http://schemas.openxmlformats.org/officeDocument/2006/relationships/image" Target="media/imgrId1013683f1ba532810.jpg"/><Relationship Id="rId4920683f1ba53f47e" Type="http://schemas.openxmlformats.org/officeDocument/2006/relationships/image" Target="media/imgrId4920683f1ba53f47e.jpg"/><Relationship Id="rId6665683f1ba548778" Type="http://schemas.openxmlformats.org/officeDocument/2006/relationships/image" Target="media/imgrId6665683f1ba548778.png"/><Relationship Id="rId8346683f1ba550505" Type="http://schemas.openxmlformats.org/officeDocument/2006/relationships/image" Target="media/imgrId8346683f1ba550505.png"/><Relationship Id="rId8965683f1ba558d2d" Type="http://schemas.openxmlformats.org/officeDocument/2006/relationships/image" Target="media/imgrId8965683f1ba558d2d.png"/><Relationship Id="rId4951683f1ba56024c" Type="http://schemas.openxmlformats.org/officeDocument/2006/relationships/image" Target="media/imgrId4951683f1ba56024c.jpg"/><Relationship Id="rId4356683f1ba566c82" Type="http://schemas.openxmlformats.org/officeDocument/2006/relationships/image" Target="media/imgrId4356683f1ba566c82.jpg"/><Relationship Id="rId8758683f1ba56dd35" Type="http://schemas.openxmlformats.org/officeDocument/2006/relationships/image" Target="media/imgrId8758683f1ba56dd35.jpg"/><Relationship Id="rId9831683f1ba575c76" Type="http://schemas.openxmlformats.org/officeDocument/2006/relationships/image" Target="media/imgrId9831683f1ba575c76.jpg"/><Relationship Id="rId7875683f1ba57d024" Type="http://schemas.openxmlformats.org/officeDocument/2006/relationships/image" Target="media/imgrId7875683f1ba57d024.jpg"/><Relationship Id="rId5472683f1ba58566d" Type="http://schemas.openxmlformats.org/officeDocument/2006/relationships/image" Target="media/imgrId5472683f1ba58566d.jpg"/><Relationship Id="rId4376683f1ba58d828" Type="http://schemas.openxmlformats.org/officeDocument/2006/relationships/image" Target="media/imgrId4376683f1ba58d828.jpg"/><Relationship Id="rId2556683f1ba59350b" Type="http://schemas.openxmlformats.org/officeDocument/2006/relationships/image" Target="media/imgrId2556683f1ba59350b.jpg"/><Relationship Id="rId2529683f1ba59b376" Type="http://schemas.openxmlformats.org/officeDocument/2006/relationships/image" Target="media/imgrId2529683f1ba59b376.jpg"/><Relationship Id="rId2432683f1ba5a3c0e" Type="http://schemas.openxmlformats.org/officeDocument/2006/relationships/image" Target="media/imgrId2432683f1ba5a3c0e.jpg"/><Relationship Id="rId4256683f1ba5ab423" Type="http://schemas.openxmlformats.org/officeDocument/2006/relationships/image" Target="media/imgrId4256683f1ba5ab423.jpg"/><Relationship Id="rId7543683f1ba5b20db" Type="http://schemas.openxmlformats.org/officeDocument/2006/relationships/image" Target="media/imgrId7543683f1ba5b20db.jpg"/><Relationship Id="rId4854683f1ba5ba6ab" Type="http://schemas.openxmlformats.org/officeDocument/2006/relationships/image" Target="media/imgrId4854683f1ba5ba6ab.jpg"/><Relationship Id="rId6544683f1ba5c07e2" Type="http://schemas.openxmlformats.org/officeDocument/2006/relationships/image" Target="media/imgrId6544683f1ba5c07e2.jpg"/><Relationship Id="rId8149683f1ba5ca50d" Type="http://schemas.openxmlformats.org/officeDocument/2006/relationships/image" Target="media/imgrId8149683f1ba5ca50d.jpg"/><Relationship Id="rId8089683f1ba5d1474" Type="http://schemas.openxmlformats.org/officeDocument/2006/relationships/image" Target="media/imgrId8089683f1ba5d1474.jpg"/><Relationship Id="rId2951683f1ba5d9b6f" Type="http://schemas.openxmlformats.org/officeDocument/2006/relationships/image" Target="media/imgrId2951683f1ba5d9b6f.jpg"/><Relationship Id="rId7192683f1ba5e012c" Type="http://schemas.openxmlformats.org/officeDocument/2006/relationships/image" Target="media/imgrId7192683f1ba5e012c.jpg"/><Relationship Id="rId8091683f1ba5e7c01" Type="http://schemas.openxmlformats.org/officeDocument/2006/relationships/image" Target="media/imgrId8091683f1ba5e7c01.jpg"/><Relationship Id="rId3856683f1ba5ef268" Type="http://schemas.openxmlformats.org/officeDocument/2006/relationships/image" Target="media/imgrId3856683f1ba5ef268.jpg"/><Relationship Id="rId2957683f1ba60397b" Type="http://schemas.openxmlformats.org/officeDocument/2006/relationships/image" Target="media/imgrId2957683f1ba60397b.jpg"/><Relationship Id="rId6508683f1ba60a455" Type="http://schemas.openxmlformats.org/officeDocument/2006/relationships/image" Target="media/imgrId6508683f1ba60a455.jpg"/><Relationship Id="rId6836683f1ba61d641" Type="http://schemas.openxmlformats.org/officeDocument/2006/relationships/image" Target="media/imgrId6836683f1ba61d641.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7972658" Type="http://schemas.openxmlformats.org/officeDocument/2006/relationships/image" Target="media/imgrId6797265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7972658" Type="http://schemas.openxmlformats.org/officeDocument/2006/relationships/image" Target="media/imgrId6797265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7972658" Type="http://schemas.openxmlformats.org/officeDocument/2006/relationships/image" Target="media/imgrId6797265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7972658" Type="http://schemas.openxmlformats.org/officeDocument/2006/relationships/image" Target="media/imgrId6797265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7972658" Type="http://schemas.openxmlformats.org/officeDocument/2006/relationships/image" Target="media/imgrId6797265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7972658" Type="http://schemas.openxmlformats.org/officeDocument/2006/relationships/image" Target="media/imgrId6797265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