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0352831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257316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2586223" w:name="ctxt"/>
    <w:bookmarkEnd w:id="12586223"/>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Safety information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703"/>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1703"/>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1703"/>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1703"/>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1703"/>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w:t>
            </w:r>
          </w:p>
          <w:p>
            <w:pPr>
              <w:numPr>
                <w:ilvl w:val="0"/>
                <w:numId w:val="1703"/>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1703"/>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is not responsible for any unreasonable use or neglect that may cause a potential danger.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3.2.1 Note for OEM</w:t>
      </w:r>
    </w:p>
    <w:p>
      <w:pPr>
        <w:numPr>
          <w:ilvl w:val="0"/>
          <w:numId w:val="1703"/>
        </w:numPr>
        <w:spacing w:before="0" w:after="0" w:line="240" w:lineRule="auto"/>
        <w:jc w:val="left"/>
        <w:rPr>
          <w:color w:val="00274C"/>
          <w:sz w:val="20"/>
          <w:szCs w:val="20"/>
        </w:rPr>
      </w:pPr>
      <w:r>
        <w:rPr>
          <w:color w:val="00274C"/>
          <w:sz w:val="20"/>
          <w:szCs w:val="20"/>
          <w:u w:val="none"/>
        </w:rPr>
        <w:t xml:space="preserve">When installing the KDI engines, always bear in mind that any variation to the functional systems may result in serious failures to the engine.</w:t>
      </w:r>
    </w:p>
    <w:p>
      <w:pPr>
        <w:numPr>
          <w:ilvl w:val="0"/>
          <w:numId w:val="1703"/>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1703"/>
        </w:numPr>
        <w:spacing w:before="0" w:after="0" w:line="240" w:lineRule="auto"/>
        <w:jc w:val="left"/>
        <w:rPr>
          <w:color w:val="00274C"/>
          <w:sz w:val="20"/>
          <w:szCs w:val="20"/>
        </w:rPr>
      </w:pPr>
      <w:r>
        <w:rPr>
          <w:color w:val="00274C"/>
          <w:sz w:val="20"/>
          <w:szCs w:val="20"/>
          <w:u w:val="none"/>
        </w:rPr>
        <w:t xml:space="preserve">In case the approval to a modification is not granted, </w:t>
      </w:r>
      <w:r>
        <w:rPr>
          <w:b/>
          <w:bCs/>
          <w:color w:val="00274C"/>
          <w:sz w:val="20"/>
          <w:szCs w:val="20"/>
          <w:u w:val="none"/>
        </w:rPr>
        <w:t xml:space="preserve">KOHLER</w:t>
      </w:r>
      <w:r>
        <w:rPr>
          <w:color w:val="00274C"/>
          <w:sz w:val="20"/>
          <w:szCs w:val="20"/>
          <w:u w:val="none"/>
        </w:rPr>
        <w:t xml:space="preserve"> shall not be deemed responsible for any consequential failures or damages to the engine.</w:t>
      </w:r>
    </w:p>
    <w:p>
      <w:pPr>
        <w:numPr>
          <w:ilvl w:val="0"/>
          <w:numId w:val="1703"/>
        </w:numPr>
        <w:spacing w:before="0" w:after="0" w:line="240" w:lineRule="auto"/>
        <w:jc w:val="left"/>
        <w:rPr>
          <w:color w:val="00274C"/>
          <w:sz w:val="20"/>
          <w:szCs w:val="20"/>
        </w:rPr>
      </w:pPr>
      <w:r>
        <w:rPr>
          <w:color w:val="00274C"/>
          <w:sz w:val="20"/>
          <w:szCs w:val="20"/>
          <w:u w:val="none"/>
        </w:rPr>
        <w:t xml:space="preserve">Those who carry out the use and maintenance on the engine must wear the safety equipment and the accident-prevention guards.</w:t>
      </w:r>
    </w:p>
    <w:p>
      <w:pPr>
        <w:numPr>
          <w:ilvl w:val="0"/>
          <w:numId w:val="1703"/>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declines all direct and indirect liability for failure to comply with the standards of conduct contained in this manual.</w:t>
      </w:r>
    </w:p>
    <w:p>
      <w:pPr>
        <w:numPr>
          <w:ilvl w:val="0"/>
          <w:numId w:val="1703"/>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cannot consider every reasonably unforeseeable misuse that may cause a potential danger.</w:t>
      </w:r>
    </w:p>
    <w:p>
      <w:pPr>
        <w:widowControl w:val="on"/>
        <w:pBdr/>
        <w:spacing w:before="0" w:after="0" w:line="262" w:lineRule="auto"/>
        <w:ind w:left="0" w:right="0"/>
        <w:jc w:val="left"/>
      </w:pPr>
      <w:r>
        <w:rPr>
          <w:b/>
          <w:bCs/>
          <w:color w:val="00274C"/>
          <w:sz w:val="20"/>
          <w:szCs w:val="20"/>
          <w:u w:val="none"/>
        </w:rPr>
        <w:br/>
        <w:t xml:space="preserve">3.2.2</w:t>
      </w:r>
      <w:r>
        <w:rPr>
          <w:color w:val="00274C"/>
          <w:sz w:val="20"/>
          <w:szCs w:val="20"/>
          <w:u w:val="none"/>
        </w:rPr>
        <w:t xml:space="preserve"> </w:t>
      </w:r>
      <w:r>
        <w:rPr>
          <w:b/>
          <w:bCs/>
          <w:color w:val="00274C"/>
          <w:sz w:val="20"/>
          <w:szCs w:val="20"/>
          <w:u w:val="none"/>
        </w:rPr>
        <w:t xml:space="preserve">Note for end user</w:t>
      </w:r>
    </w:p>
    <w:p>
      <w:pPr>
        <w:numPr>
          <w:ilvl w:val="0"/>
          <w:numId w:val="1703"/>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1703"/>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1703"/>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1703"/>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1703"/>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1703"/>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1703"/>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1703"/>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1703"/>
        </w:numPr>
        <w:spacing w:before="0" w:after="0" w:line="240" w:lineRule="auto"/>
        <w:jc w:val="left"/>
        <w:rPr>
          <w:color w:val="00274C"/>
          <w:sz w:val="20"/>
          <w:szCs w:val="20"/>
        </w:rPr>
      </w:pPr>
      <w:r>
        <w:rPr>
          <w:color w:val="00274C"/>
          <w:sz w:val="20"/>
          <w:szCs w:val="20"/>
          <w:u w:val="none"/>
        </w:rPr>
        <w:t xml:space="preserve">Fuel and oil are inflammable. The tank must only be filled when the engine is off. Before starting, dry any spilt fuel.</w:t>
      </w:r>
    </w:p>
    <w:p>
      <w:pPr>
        <w:numPr>
          <w:ilvl w:val="0"/>
          <w:numId w:val="1703"/>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1703"/>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1703"/>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1703"/>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1703"/>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1703"/>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1703"/>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1703"/>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1703"/>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1703"/>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1703"/>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1703"/>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1703"/>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1703"/>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1703"/>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1703"/>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1703"/>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1703"/>
        </w:numPr>
        <w:spacing w:before="0" w:after="0" w:line="240" w:lineRule="auto"/>
        <w:jc w:val="left"/>
        <w:rPr>
          <w:color w:val="00274C"/>
          <w:sz w:val="20"/>
          <w:szCs w:val="20"/>
        </w:rPr>
      </w:pPr>
      <w:r>
        <w:rPr>
          <w:color w:val="00274C"/>
          <w:sz w:val="20"/>
          <w:szCs w:val="20"/>
          <w:u w:val="none"/>
        </w:rPr>
        <w:t xml:space="preserve">Do not use air and water jets at high pressures on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3490191" name="name125668d7cc474e89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13768d7cc474e896"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703"/>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r>
        <w:rPr>
          <w:color w:val="00274C"/>
          <w:sz w:val="20"/>
          <w:szCs w:val="20"/>
          <w:u w:val="none"/>
        </w:rPr>
        <w:t xml:space="preserve"> .</w:t>
      </w:r>
    </w:p>
    <w:p>
      <w:pPr>
        <w:numPr>
          <w:ilvl w:val="0"/>
          <w:numId w:val="1703"/>
        </w:numPr>
        <w:spacing w:before="0" w:after="0" w:line="240" w:lineRule="auto"/>
        <w:jc w:val="left"/>
        <w:rPr>
          <w:color w:val="00274C"/>
          <w:sz w:val="20"/>
          <w:szCs w:val="20"/>
        </w:rPr>
      </w:pPr>
      <w:r>
        <w:rPr>
          <w:color w:val="00274C"/>
          <w:sz w:val="20"/>
          <w:szCs w:val="20"/>
          <w:u w:val="none"/>
        </w:rPr>
        <w:t xml:space="preserve">The angle between each lifting chain and the eyebolts shall not exceed 15° inwards.</w:t>
      </w:r>
    </w:p>
    <w:p>
      <w:pPr>
        <w:numPr>
          <w:ilvl w:val="0"/>
          <w:numId w:val="1703"/>
        </w:numPr>
        <w:spacing w:before="0" w:after="0" w:line="240" w:lineRule="auto"/>
        <w:jc w:val="left"/>
        <w:rPr>
          <w:color w:val="00274C"/>
          <w:sz w:val="20"/>
          <w:szCs w:val="20"/>
        </w:rPr>
      </w:pPr>
      <w:r>
        <w:rPr>
          <w:color w:val="00274C"/>
          <w:sz w:val="20"/>
          <w:szCs w:val="20"/>
          <w:u w:val="none"/>
        </w:rPr>
        <w:t xml:space="preserve">The correct tightening of the lifting screws is 25Nm.</w:t>
      </w:r>
    </w:p>
    <w:p>
      <w:pPr>
        <w:numPr>
          <w:ilvl w:val="0"/>
          <w:numId w:val="1703"/>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numPr>
          <w:ilvl w:val="0"/>
          <w:numId w:val="1703"/>
        </w:numPr>
        <w:spacing w:before="0" w:after="0" w:line="240" w:lineRule="auto"/>
        <w:jc w:val="left"/>
        <w:rPr>
          <w:color w:val="00274C"/>
          <w:sz w:val="20"/>
          <w:szCs w:val="20"/>
        </w:rPr>
      </w:pPr>
      <w:r>
        <w:rPr>
          <w:color w:val="00274C"/>
          <w:sz w:val="20"/>
          <w:szCs w:val="20"/>
          <w:u w:val="none"/>
        </w:rPr>
        <w:t xml:space="preserve">Engines equipped with an ATS device require regeneration to be inhibited if the engine is used in environments at risk of fire (e.g. forest areas, areas with flammable materials, areas with flammable gases or liquids and any type of combustible material - if the function is available).</w:t>
      </w:r>
    </w:p>
    <w:p>
      <w:pPr>
        <w:widowControl w:val="on"/>
        <w:pBdr/>
        <w:spacing w:before="225" w:after="225" w:line="262" w:lineRule="auto"/>
        <w:ind w:left="0" w:right="0"/>
        <w:jc w:val="left"/>
      </w:pPr>
      <w:r>
        <w:drawing>
          <wp:inline distT="0" distB="0" distL="0" distR="0">
            <wp:extent cx="4752000" cy="2995200"/>
            <wp:effectExtent b="0" l="0" r="0" t="0"/>
            <wp:docPr id="8710745" name="name413968d7cc4759d5c" descr="note_general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_generali_1.jpg"/>
                    <pic:cNvPicPr/>
                  </pic:nvPicPr>
                  <pic:blipFill>
                    <a:blip r:embed="rId974968d7cc4759d58" cstate="print"/>
                    <a:stretch>
                      <a:fillRect/>
                    </a:stretch>
                  </pic:blipFill>
                  <pic:spPr>
                    <a:xfrm>
                      <a:off x="0" y="0"/>
                      <a:ext cx="4752000" cy="29952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1703"/>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1703"/>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1703"/>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1703"/>
              </w:numPr>
              <w:spacing w:before="0" w:after="0" w:line="262" w:lineRule="auto"/>
              <w:jc w:val="left"/>
              <w:rPr>
                <w:color w:val="00274C"/>
                <w:sz w:val="20"/>
                <w:szCs w:val="20"/>
              </w:rPr>
            </w:pPr>
            <w:r>
              <w:rPr>
                <w:color w:val="00274C"/>
                <w:position w:val="-2"/>
                <w:sz w:val="20"/>
                <w:szCs w:val="20"/>
                <w:u w:val="none"/>
              </w:rPr>
              <w:t xml:space="preserve">Please read them carefully.</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66769881" name="name801368d7cc476412c"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728968d7cc4764129"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5511756" name="name915268d7cc476b1e1"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501868d7cc476b1de"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83313040" name="name902568d7cc47731a2"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444168d7cc477319e"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69491764" name="name312468d7cc477ade5"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322068d7cc477ade1"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29856038" name="name128368d7cc4782d8d"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553168d7cc4782d8a"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23323287" name="name793168d7cc478f0db"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487368d7cc478f0d6"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93182130" name="name996868d7cc479d038"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544068d7cc479d035"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50003569" name="name615068d7cc47a7f87"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265968d7cc47a7f7f"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67106948" name="name395368d7cc47af535"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666068d7cc47af531"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77221315" name="name983168d7cc47b97ec"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484268d7cc47b97e9"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9876818" name="name625368d7cc47c17ee"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578168d7cc47c17ea"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817016" name="name757568d7cc47c6d30"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17468d7cc47c6d2d"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8139052" name="name509468d7cc47ce2d7"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535468d7cc47ce2d3"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94427614" name="name941968d7cc47d5038"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913468d7cc47d5034"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82670759" name="name657868d7cc47dfc4a"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107568d7cc47dfc46"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4005256" name="name708368d7cc47e5042"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05168d7cc47e503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538378" name="name917968d7cc47eee17"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955568d7cc47eee14"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5598378" name="name356568d7cc48001cc"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50668d7cc48001c9"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428479" name="name868068d7cc480ac23"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104368d7cc480ac1f"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w:t>
                  </w:r>
                  <w:r>
                    <w:rPr>
                      <w:color w:val="00274C"/>
                      <w:position w:val="-2"/>
                      <w:sz w:val="20"/>
                      <w:szCs w:val="20"/>
                      <w:u w:val="none"/>
                    </w:rPr>
                    <w:br/>
                    <w:t xml:space="preserve">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8901959" name="name205668d7cc48136e2"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52068d7cc48136d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9454916" name="name789968d7cc481d4ed"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563068d7cc481d4e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5366850" name="name959068d7cc48224ab"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65568d7cc48224a8"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3542377" name="name299768d7cc4828e2f"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963468d7cc4828e2b"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7108682" name="name833868d7cc482dff5"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55668d7cc482dff1"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1367924" name="name477568d7cc483845a"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303268d7cc4838457"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work on fuel system without proper training or safety equipment. Fluid puncture injuries are highly toxic and hazardous.</w:t>
                  </w:r>
                </w:p>
                <w:p>
                  <w:pPr>
                    <w:widowControl w:val="on"/>
                    <w:pBdr/>
                    <w:spacing w:before="0" w:after="0" w:line="262" w:lineRule="auto"/>
                    <w:ind w:left="0" w:right="0"/>
                    <w:jc w:val="left"/>
                    <w:textAlignment w:val="center"/>
                  </w:pPr>
                  <w:r>
                    <w:rPr>
                      <w:b/>
                      <w:bCs/>
                      <w:color w:val="00274C"/>
                      <w:position w:val="-2"/>
                      <w:sz w:val="20"/>
                      <w:szCs w:val="20"/>
                      <w:u w:val="none"/>
                    </w:rP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3092265" name="name264268d7cc483d3d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02868d7cc483d3d6"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4898275" name="name660068d7cc4844007"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825268d7cc4844004"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is flammable and its vapours can ignite. Store fuel only in approved containers, in well ventilated, unoccupied buildings. Do not fill the fuel tank while the engine is hot or running, since spilled fuel could ignite if it comes in contact with hot parts or sparks from ignition.</w:t>
                  </w:r>
                  <w:r>
                    <w:rPr>
                      <w:color w:val="00274C"/>
                      <w:position w:val="-2"/>
                      <w:sz w:val="20"/>
                      <w:szCs w:val="20"/>
                      <w:u w:val="none"/>
                    </w:rPr>
                    <w:br/>
                    <w:br/>
                    <w:t xml:space="preserve">Do not start the engine near spilled fuel.</w:t>
                  </w:r>
                  <w:r>
                    <w:rPr>
                      <w:color w:val="00274C"/>
                      <w:position w:val="-2"/>
                      <w:sz w:val="20"/>
                      <w:szCs w:val="20"/>
                      <w:u w:val="none"/>
                    </w:rPr>
                    <w:br/>
                    <w:br/>
                    <w:t xml:space="preserve">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4599589" name="name880068d7cc484ca60"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73468d7cc484ca5d"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8869299" name="name540868d7cc4856865"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801768d7cc4856860"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r>
                    <w:rPr>
                      <w:color w:val="00274C"/>
                      <w:position w:val="-2"/>
                      <w:sz w:val="20"/>
                      <w:szCs w:val="20"/>
                      <w:u w:val="none"/>
                    </w:rPr>
                    <w:br/>
                    <w:br/>
                    <w:t xml:space="preserve">Keep batteries out of the reach of children.</w:t>
                  </w:r>
                  <w:r>
                    <w:rPr>
                      <w:color w:val="00274C"/>
                      <w:position w:val="-2"/>
                      <w:sz w:val="20"/>
                      <w:szCs w:val="20"/>
                      <w:u w:val="none"/>
                    </w:rPr>
                    <w:br/>
                    <w:br/>
                    <w:t xml:space="preserve">Remove all jewelry when servicing batteries. Before disconnecting the negative (-) ground cable, make sure all switches are OFF.</w:t>
                  </w:r>
                  <w:r>
                    <w:rPr>
                      <w:color w:val="00274C"/>
                      <w:position w:val="-2"/>
                      <w:sz w:val="20"/>
                      <w:szCs w:val="20"/>
                      <w:u w:val="none"/>
                    </w:rPr>
                    <w:br/>
                    <w:br/>
                    <w:t xml:space="preserve">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324699" name="name364868d7cc485b8d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60668d7cc485b8d7"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Liquid waste.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Waste management.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Soil contamination.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Atmospheric emission.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Use of raw materials and natural resources.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Regulations and directives regarding environmental impact.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In order to minimise the impact on the environment, </w:t>
            </w:r>
            <w:r>
              <w:rPr>
                <w:b/>
                <w:bCs/>
                <w:color w:val="00274C"/>
                <w:position w:val="-2"/>
                <w:sz w:val="20"/>
                <w:szCs w:val="20"/>
                <w:u w:val="none"/>
              </w:rPr>
              <w:t xml:space="preserve">KOHLER</w:t>
            </w:r>
            <w:r>
              <w:rPr>
                <w:color w:val="00274C"/>
                <w:position w:val="-2"/>
                <w:sz w:val="20"/>
                <w:szCs w:val="20"/>
                <w:u w:val="none"/>
              </w:rPr>
              <w:t xml:space="preserve"> now provides a number of indications to be followed by all persons handling the engine, for any reason, during its expected lifetime. - All components and fluids must be disposed of in accordance with the laws of the country in which disposal is taking place.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Keep the fuel and engine control systems and the exhaust pipes in efficient working order to limit environmental and noise pollution.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When discontinuing use of the engine, select all components according to their chemical characteristics and dispose of them separately.</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labels on engine</w:t>
      </w:r>
    </w:p>
    <w:p>
      <w:pPr>
        <w:widowControl w:val="on"/>
        <w:pBdr/>
        <w:spacing w:before="0" w:after="0" w:line="262" w:lineRule="auto"/>
        <w:ind w:left="0" w:right="0"/>
        <w:jc w:val="left"/>
      </w:pPr>
      <w:r>
        <w:drawing>
          <wp:inline distT="0" distB="0" distL="0" distR="0">
            <wp:extent cx="4752000" cy="3052800"/>
            <wp:effectExtent b="0" l="0" r="0" t="0"/>
            <wp:docPr id="25587192" name="name275268d7cc486a80d" descr="Segnali_sicurezza_1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nali_sicurezza_1903.jpg"/>
                    <pic:cNvPicPr/>
                  </pic:nvPicPr>
                  <pic:blipFill>
                    <a:blip r:embed="rId875368d7cc486a809" cstate="print"/>
                    <a:stretch>
                      <a:fillRect/>
                    </a:stretch>
                  </pic:blipFill>
                  <pic:spPr>
                    <a:xfrm>
                      <a:off x="0" y="0"/>
                      <a:ext cx="4752000" cy="3052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704">
    <w:multiLevelType w:val="hybridMultilevel"/>
    <w:lvl w:ilvl="0" w:tplc="78251466">
      <w:start w:val="1"/>
      <w:numFmt w:val="decimal"/>
      <w:lvlText w:val="%1."/>
      <w:lvlJc w:val="left"/>
      <w:pPr>
        <w:ind w:left="720" w:hanging="360"/>
      </w:pPr>
    </w:lvl>
    <w:lvl w:ilvl="1" w:tplc="78251466" w:tentative="1">
      <w:start w:val="1"/>
      <w:numFmt w:val="lowerLetter"/>
      <w:lvlText w:val="%2."/>
      <w:lvlJc w:val="left"/>
      <w:pPr>
        <w:ind w:left="1440" w:hanging="360"/>
      </w:pPr>
    </w:lvl>
    <w:lvl w:ilvl="2" w:tplc="78251466" w:tentative="1">
      <w:start w:val="1"/>
      <w:numFmt w:val="lowerRoman"/>
      <w:lvlText w:val="%3."/>
      <w:lvlJc w:val="right"/>
      <w:pPr>
        <w:ind w:left="2160" w:hanging="180"/>
      </w:pPr>
    </w:lvl>
    <w:lvl w:ilvl="3" w:tplc="78251466" w:tentative="1">
      <w:start w:val="1"/>
      <w:numFmt w:val="decimal"/>
      <w:lvlText w:val="%4."/>
      <w:lvlJc w:val="left"/>
      <w:pPr>
        <w:ind w:left="2880" w:hanging="360"/>
      </w:pPr>
    </w:lvl>
    <w:lvl w:ilvl="4" w:tplc="78251466" w:tentative="1">
      <w:start w:val="1"/>
      <w:numFmt w:val="lowerLetter"/>
      <w:lvlText w:val="%5."/>
      <w:lvlJc w:val="left"/>
      <w:pPr>
        <w:ind w:left="3600" w:hanging="360"/>
      </w:pPr>
    </w:lvl>
    <w:lvl w:ilvl="5" w:tplc="78251466" w:tentative="1">
      <w:start w:val="1"/>
      <w:numFmt w:val="lowerRoman"/>
      <w:lvlText w:val="%6."/>
      <w:lvlJc w:val="right"/>
      <w:pPr>
        <w:ind w:left="4320" w:hanging="180"/>
      </w:pPr>
    </w:lvl>
    <w:lvl w:ilvl="6" w:tplc="78251466" w:tentative="1">
      <w:start w:val="1"/>
      <w:numFmt w:val="decimal"/>
      <w:lvlText w:val="%7."/>
      <w:lvlJc w:val="left"/>
      <w:pPr>
        <w:ind w:left="5040" w:hanging="360"/>
      </w:pPr>
    </w:lvl>
    <w:lvl w:ilvl="7" w:tplc="78251466" w:tentative="1">
      <w:start w:val="1"/>
      <w:numFmt w:val="lowerLetter"/>
      <w:lvlText w:val="%8."/>
      <w:lvlJc w:val="left"/>
      <w:pPr>
        <w:ind w:left="5760" w:hanging="360"/>
      </w:pPr>
    </w:lvl>
    <w:lvl w:ilvl="8" w:tplc="78251466" w:tentative="1">
      <w:start w:val="1"/>
      <w:numFmt w:val="lowerRoman"/>
      <w:lvlText w:val="%9."/>
      <w:lvlJc w:val="right"/>
      <w:pPr>
        <w:ind w:left="6480" w:hanging="180"/>
      </w:pPr>
    </w:lvl>
  </w:abstractNum>
  <w:abstractNum w:abstractNumId="1703">
    <w:multiLevelType w:val="hybridMultilevel"/>
    <w:lvl w:ilvl="0" w:tplc="493644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703">
    <w:abstractNumId w:val="1703"/>
  </w:num>
  <w:num w:numId="1704">
    <w:abstractNumId w:val="17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26149705" Type="http://schemas.openxmlformats.org/officeDocument/2006/relationships/comments" Target="comments.xml"/><Relationship Id="rId111515211" Type="http://schemas.microsoft.com/office/2011/relationships/commentsExtended" Target="commentsExtended.xml"/><Relationship Id="rId22573163" Type="http://schemas.openxmlformats.org/officeDocument/2006/relationships/image" Target="media/imgrId22573163.jpg"/><Relationship Id="rId413768d7cc474e896" Type="http://schemas.openxmlformats.org/officeDocument/2006/relationships/image" Target="media/imgrId413768d7cc474e896.jpg"/><Relationship Id="rId974968d7cc4759d58" Type="http://schemas.openxmlformats.org/officeDocument/2006/relationships/image" Target="media/imgrId974968d7cc4759d58.jpg"/><Relationship Id="rId728968d7cc4764129" Type="http://schemas.openxmlformats.org/officeDocument/2006/relationships/image" Target="media/imgrId728968d7cc4764129.jpg"/><Relationship Id="rId501868d7cc476b1de" Type="http://schemas.openxmlformats.org/officeDocument/2006/relationships/image" Target="media/imgrId501868d7cc476b1de.jpg"/><Relationship Id="rId444168d7cc477319e" Type="http://schemas.openxmlformats.org/officeDocument/2006/relationships/image" Target="media/imgrId444168d7cc477319e.jpg"/><Relationship Id="rId322068d7cc477ade1" Type="http://schemas.openxmlformats.org/officeDocument/2006/relationships/image" Target="media/imgrId322068d7cc477ade1.jpg"/><Relationship Id="rId553168d7cc4782d8a" Type="http://schemas.openxmlformats.org/officeDocument/2006/relationships/image" Target="media/imgrId553168d7cc4782d8a.jpg"/><Relationship Id="rId487368d7cc478f0d6" Type="http://schemas.openxmlformats.org/officeDocument/2006/relationships/image" Target="media/imgrId487368d7cc478f0d6.png"/><Relationship Id="rId544068d7cc479d035" Type="http://schemas.openxmlformats.org/officeDocument/2006/relationships/image" Target="media/imgrId544068d7cc479d035.png"/><Relationship Id="rId265968d7cc47a7f7f" Type="http://schemas.openxmlformats.org/officeDocument/2006/relationships/image" Target="media/imgrId265968d7cc47a7f7f.png"/><Relationship Id="rId666068d7cc47af531" Type="http://schemas.openxmlformats.org/officeDocument/2006/relationships/image" Target="media/imgrId666068d7cc47af531.jpg"/><Relationship Id="rId484268d7cc47b97e9" Type="http://schemas.openxmlformats.org/officeDocument/2006/relationships/image" Target="media/imgrId484268d7cc47b97e9.jpg"/><Relationship Id="rId578168d7cc47c17ea" Type="http://schemas.openxmlformats.org/officeDocument/2006/relationships/image" Target="media/imgrId578168d7cc47c17ea.jpg"/><Relationship Id="rId817468d7cc47c6d2d" Type="http://schemas.openxmlformats.org/officeDocument/2006/relationships/image" Target="media/imgrId817468d7cc47c6d2d.jpg"/><Relationship Id="rId535468d7cc47ce2d3" Type="http://schemas.openxmlformats.org/officeDocument/2006/relationships/image" Target="media/imgrId535468d7cc47ce2d3.jpg"/><Relationship Id="rId913468d7cc47d5034" Type="http://schemas.openxmlformats.org/officeDocument/2006/relationships/image" Target="media/imgrId913468d7cc47d5034.jpg"/><Relationship Id="rId107568d7cc47dfc46" Type="http://schemas.openxmlformats.org/officeDocument/2006/relationships/image" Target="media/imgrId107568d7cc47dfc46.jpg"/><Relationship Id="rId805168d7cc47e503e" Type="http://schemas.openxmlformats.org/officeDocument/2006/relationships/image" Target="media/imgrId805168d7cc47e503e.jpg"/><Relationship Id="rId955568d7cc47eee14" Type="http://schemas.openxmlformats.org/officeDocument/2006/relationships/image" Target="media/imgrId955568d7cc47eee14.jpg"/><Relationship Id="rId750668d7cc48001c9" Type="http://schemas.openxmlformats.org/officeDocument/2006/relationships/image" Target="media/imgrId750668d7cc48001c9.jpg"/><Relationship Id="rId104368d7cc480ac1f" Type="http://schemas.openxmlformats.org/officeDocument/2006/relationships/image" Target="media/imgrId104368d7cc480ac1f.jpg"/><Relationship Id="rId152068d7cc48136de" Type="http://schemas.openxmlformats.org/officeDocument/2006/relationships/image" Target="media/imgrId152068d7cc48136de.jpg"/><Relationship Id="rId563068d7cc481d4e9" Type="http://schemas.openxmlformats.org/officeDocument/2006/relationships/image" Target="media/imgrId563068d7cc481d4e9.jpg"/><Relationship Id="rId565568d7cc48224a8" Type="http://schemas.openxmlformats.org/officeDocument/2006/relationships/image" Target="media/imgrId565568d7cc48224a8.jpg"/><Relationship Id="rId963468d7cc4828e2b" Type="http://schemas.openxmlformats.org/officeDocument/2006/relationships/image" Target="media/imgrId963468d7cc4828e2b.jpg"/><Relationship Id="rId355668d7cc482dff1" Type="http://schemas.openxmlformats.org/officeDocument/2006/relationships/image" Target="media/imgrId355668d7cc482dff1.jpg"/><Relationship Id="rId303268d7cc4838457" Type="http://schemas.openxmlformats.org/officeDocument/2006/relationships/image" Target="media/imgrId303268d7cc4838457.jpg"/><Relationship Id="rId702868d7cc483d3d6" Type="http://schemas.openxmlformats.org/officeDocument/2006/relationships/image" Target="media/imgrId702868d7cc483d3d6.jpg"/><Relationship Id="rId825268d7cc4844004" Type="http://schemas.openxmlformats.org/officeDocument/2006/relationships/image" Target="media/imgrId825268d7cc4844004.jpg"/><Relationship Id="rId573468d7cc484ca5d" Type="http://schemas.openxmlformats.org/officeDocument/2006/relationships/image" Target="media/imgrId573468d7cc484ca5d.jpg"/><Relationship Id="rId801768d7cc4856860" Type="http://schemas.openxmlformats.org/officeDocument/2006/relationships/image" Target="media/imgrId801768d7cc4856860.jpg"/><Relationship Id="rId160668d7cc485b8d7" Type="http://schemas.openxmlformats.org/officeDocument/2006/relationships/image" Target="media/imgrId160668d7cc485b8d7.jpg"/><Relationship Id="rId875368d7cc486a809" Type="http://schemas.openxmlformats.org/officeDocument/2006/relationships/image" Target="media/imgrId875368d7cc486a809.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2573163" Type="http://schemas.openxmlformats.org/officeDocument/2006/relationships/image" Target="media/imgrId2257316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2573163" Type="http://schemas.openxmlformats.org/officeDocument/2006/relationships/image" Target="media/imgrId2257316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2573163" Type="http://schemas.openxmlformats.org/officeDocument/2006/relationships/image" Target="media/imgrId2257316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2573163" Type="http://schemas.openxmlformats.org/officeDocument/2006/relationships/image" Target="media/imgrId2257316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2573163" Type="http://schemas.openxmlformats.org/officeDocument/2006/relationships/image" Target="media/imgrId2257316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2573163" Type="http://schemas.openxmlformats.org/officeDocument/2006/relationships/image" Target="media/imgrId2257316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