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Information about use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KDI 2504TCR / KDI 2504TCRE5 Owner Manual (Rev_20)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>
      <w:pPr>
        <w:jc w:val="center"/>
      </w:pPr>
      <w:r>
        <w:rPr>
          <w:noProof/>
        </w:rPr>
        <w:drawing>
          <wp:inline distT="0" distB="0" distL="0" distR="0">
            <wp:extent cx="5105400" cy="7216140"/>
            <wp:effectExtent l="0" t="95250" r="0" b="0"/>
            <wp:docPr id="220569855" name="Picture 1" descr="transformations/i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ansformations/img.jpg"/>
                    <pic:cNvPicPr/>
                  </pic:nvPicPr>
                  <pic:blipFill>
                    <a:blip r:embed="rId960477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05400" cy="7216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2504tcr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4053448" w:name="ctxt"/>
    <w:bookmarkEnd w:id="4053448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Information about use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Pre-start check</w:t>
      </w:r>
    </w:p>
    <w:p>
      <w:pPr>
        <w:numPr>
          <w:ilvl w:val="0"/>
          <w:numId w:val="13133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Read carefully the following pages and carry out the operations described below in accordance with the instructions specified.
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40000</wp:posOffset>
            </wp:positionV>
            <wp:extent cx="360000" cy="309600"/>
            <wp:wrapSquare wrapText="bothSides"/>
            <wp:docPr id="25100389" name="name473368df1368b16b5" descr="Z_importante.jpg"/>
            <wp:effectExtent b="0" l="0" r="0" t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_importante.jpg"/>
                    <pic:cNvPicPr/>
                  </pic:nvPicPr>
                  <pic:blipFill>
                    <a:blip r:embed="rId780668df1368b16b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096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00274C"/>
          <w:sz w:val="20"/>
          <w:szCs w:val="20"/>
          <w:u w:val="none"/>
        </w:rPr>
        <w:t xml:space="preserve"> </w:t>
      </w:r>
      <w:r>
        <w:rPr>
          <w:b/>
          <w:bCs/>
          <w:color w:val="00274C"/>
          <w:sz w:val="20"/>
          <w:szCs w:val="20"/>
          <w:u w:val="none"/>
        </w:rPr>
        <w:t xml:space="preserve">  Important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/>
    <w:p>
      <w:pPr>
        <w:numPr>
          <w:ilvl w:val="0"/>
          <w:numId w:val="13133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Non compliance with the operations described in the following pages involves the risk of damages to the engine and vehicle on which it is installed as well as personal and/or property damage.</w:t>
      </w:r>
    </w:p>
    <w:p>
      <w:pPr>
        <w:numPr>
          <w:ilvl w:val="0"/>
          <w:numId w:val="13133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Increase the frequency of maintenance operations in heavy working conditions (engine starts but stops, very dusty and hot environments, etc..).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Running-in period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NOTE: For the first 50 hours of engine operation, it is advisable not to exceed 75% of the maximum power supplied.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b/>
          <w:bCs/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Starting and turning off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b/>
          <w:bCs/>
          <w:color w:val="00274C"/>
          <w:sz w:val="20"/>
          <w:szCs w:val="20"/>
          <w:u w:val="none"/>
        </w:rPr>
        <w:t xml:space="preserve">4.3.1 Starting</w:t>
      </w:r>
    </w:p>
    <w:p>
      <w:pPr>
        <w:numPr>
          <w:ilvl w:val="0"/>
          <w:numId w:val="13135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Check the level of the engine oil, fuel and coolant and fill if necessary ( </w:t>
      </w:r>
      <w:hyperlink r:id="rId923968df1368b2c53" w:history="1">
        <w:r>
          <w:rPr>
            <w:rStyle w:val="DefaultParagraphFontPHPDOCX"/>
            <w:b/>
            <w:bCs/>
            <w:color w:val="0000FF"/>
            <w:sz w:val="20"/>
            <w:szCs w:val="20"/>
            <w:u w:val="single" w:color=""/>
          </w:rPr>
          <w:t xml:space="preserve">Par. 4.5</w:t>
        </w:r>
      </w:hyperlink>
      <w:r>
        <w:rPr>
          <w:color w:val="00274C"/>
          <w:sz w:val="20"/>
          <w:szCs w:val="20"/>
          <w:u w:val="none"/>
        </w:rPr>
        <w:t xml:space="preserve"> e </w:t>
      </w:r>
      <w:hyperlink r:id="rId184268df1368b2e47" w:history="1">
        <w:r>
          <w:rPr>
            <w:rStyle w:val="DefaultParagraphFontPHPDOCX"/>
            <w:b/>
            <w:bCs/>
            <w:color w:val="0000FF"/>
            <w:sz w:val="20"/>
            <w:szCs w:val="20"/>
            <w:u w:val="single" w:color=""/>
          </w:rPr>
          <w:t xml:space="preserve">Par. 4.6</w:t>
        </w:r>
      </w:hyperlink>
      <w:r>
        <w:rPr>
          <w:color w:val="00274C"/>
          <w:sz w:val="20"/>
          <w:szCs w:val="20"/>
          <w:u w:val="none"/>
        </w:rPr>
        <w:t xml:space="preserve"> ).</w:t>
      </w:r>
    </w:p>
    <w:p>
      <w:pPr>
        <w:numPr>
          <w:ilvl w:val="0"/>
          <w:numId w:val="13135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Put the ignition key in the ignition switch (if supplied).</w:t>
      </w:r>
    </w:p>
    <w:p>
      <w:pPr>
        <w:numPr>
          <w:ilvl w:val="0"/>
          <w:numId w:val="13135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Tun the key to </w:t>
      </w:r>
      <w:r>
        <w:rPr>
          <w:b/>
          <w:bCs/>
          <w:color w:val="00274C"/>
          <w:sz w:val="20"/>
          <w:szCs w:val="20"/>
          <w:u w:val="none"/>
        </w:rPr>
        <w:t xml:space="preserve">ON</w:t>
      </w:r>
      <w:r>
        <w:rPr>
          <w:color w:val="00274C"/>
          <w:sz w:val="20"/>
          <w:szCs w:val="20"/>
          <w:u w:val="none"/>
        </w:rPr>
        <w:t xml:space="preserve"> position.</w:t>
      </w:r>
    </w:p>
    <w:p>
      <w:pPr>
        <w:numPr>
          <w:ilvl w:val="0"/>
          <w:numId w:val="13135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Turn the key beyond the </w:t>
      </w:r>
      <w:r>
        <w:rPr>
          <w:b/>
          <w:bCs/>
          <w:color w:val="00274C"/>
          <w:sz w:val="20"/>
          <w:szCs w:val="20"/>
          <w:u w:val="none"/>
        </w:rPr>
        <w:t xml:space="preserve">ON</w:t>
      </w:r>
      <w:r>
        <w:rPr>
          <w:color w:val="00274C"/>
          <w:sz w:val="20"/>
          <w:szCs w:val="20"/>
          <w:u w:val="none"/>
        </w:rPr>
        <w:t xml:space="preserve"> position and release it when the engine starts (the key will return into ON position automatically).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40000</wp:posOffset>
            </wp:positionV>
            <wp:extent cx="360000" cy="309600"/>
            <wp:wrapSquare wrapText="bothSides"/>
            <wp:docPr id="49076249" name="name121268df1368ba78a" descr="Z_importante.jpg"/>
            <wp:effectExtent b="0" l="0" r="0" t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_importante.jpg"/>
                    <pic:cNvPicPr/>
                  </pic:nvPicPr>
                  <pic:blipFill>
                    <a:blip r:embed="rId790868df1368ba78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096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00274C"/>
          <w:sz w:val="20"/>
          <w:szCs w:val="20"/>
          <w:u w:val="none"/>
        </w:rPr>
        <w:t xml:space="preserve">   </w:t>
      </w:r>
      <w:r>
        <w:rPr>
          <w:b/>
          <w:bCs/>
          <w:color w:val="00274C"/>
          <w:sz w:val="20"/>
          <w:szCs w:val="20"/>
          <w:u w:val="none"/>
        </w:rPr>
        <w:t xml:space="preserve">Important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/>
    <w:p>
      <w:pPr>
        <w:numPr>
          <w:ilvl w:val="0"/>
          <w:numId w:val="13133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At the first fuelling or if the tank was empty filling the fuel system  </w:t>
      </w:r>
      <w:r>
        <w:rPr>
          <w:b/>
          <w:bCs/>
          <w:color w:val="00274C"/>
          <w:sz w:val="20"/>
          <w:szCs w:val="20"/>
          <w:u w:val="none"/>
        </w:rPr>
        <w:t xml:space="preserve">( </w:t>
      </w:r>
      <w:hyperlink r:id="rId310668df1368bafae" w:history="1">
        <w:r>
          <w:rPr>
            <w:rStyle w:val="DefaultParagraphFontPHPDOCX"/>
            <w:b/>
            <w:bCs/>
            <w:color w:val="0000FF"/>
            <w:sz w:val="20"/>
            <w:szCs w:val="20"/>
            <w:u w:val="single" w:color=""/>
          </w:rPr>
          <w:t xml:space="preserve">Par. 6.4 point 8</w:t>
        </w:r>
      </w:hyperlink>
      <w:r>
        <w:rPr>
          <w:b/>
          <w:bCs/>
          <w:color w:val="00274C"/>
          <w:sz w:val="20"/>
          <w:szCs w:val="20"/>
          <w:u w:val="none"/>
        </w:rPr>
        <w:t xml:space="preserve"> ).</w:t>
      </w:r>
    </w:p>
    <w:p>
      <w:pPr>
        <w:numPr>
          <w:ilvl w:val="0"/>
          <w:numId w:val="13133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Do not actuate the starter for more than 15 seconds at a time. If the engine does not start, wait for one minute before repeating attempt.</w:t>
      </w:r>
    </w:p>
    <w:p>
      <w:pPr>
        <w:numPr>
          <w:ilvl w:val="0"/>
          <w:numId w:val="13133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If engine does not start after two attempts see </w:t>
      </w:r>
      <w:hyperlink r:id="rId419668df1368bb530" w:history="1">
        <w:r>
          <w:rPr>
            <w:rStyle w:val="DefaultParagraphFontPHPDOCX"/>
            <w:b/>
            <w:bCs/>
            <w:color w:val="0000FF"/>
            <w:sz w:val="20"/>
            <w:szCs w:val="20"/>
            <w:u w:val="single" w:color=""/>
          </w:rPr>
          <w:t xml:space="preserve">Tab. 7.1 and Tab. 7.2</w:t>
        </w:r>
      </w:hyperlink>
      <w:r>
        <w:rPr>
          <w:color w:val="00274C"/>
          <w:sz w:val="20"/>
          <w:szCs w:val="20"/>
          <w:u w:val="none"/>
        </w:rPr>
        <w:t xml:space="preserve"> to found the cause.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b/>
          <w:bCs/>
          <w:color w:val="00274C"/>
          <w:sz w:val="20"/>
          <w:szCs w:val="20"/>
          <w:u w:val="none"/>
        </w:rPr>
        <w:br/>
        <w:t xml:space="preserve">4.3.2</w:t>
      </w:r>
      <w:r>
        <w:rPr>
          <w:color w:val="00274C"/>
          <w:sz w:val="20"/>
          <w:szCs w:val="20"/>
          <w:u w:val="none"/>
        </w:rPr>
        <w:t xml:space="preserve"> </w:t>
      </w:r>
      <w:r>
        <w:rPr>
          <w:b/>
          <w:bCs/>
          <w:color w:val="00274C"/>
          <w:sz w:val="20"/>
          <w:szCs w:val="20"/>
          <w:u w:val="none"/>
        </w:rPr>
        <w:t xml:space="preserve">After starting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40000</wp:posOffset>
            </wp:positionV>
            <wp:extent cx="360000" cy="309600"/>
            <wp:wrapSquare wrapText="bothSides"/>
            <wp:docPr id="47891213" name="name169968df1368c4c03" descr="Z_Avvertenza.jpg"/>
            <wp:effectExtent b="0" l="0" r="0" t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_Avvertenza.jpg"/>
                    <pic:cNvPicPr/>
                  </pic:nvPicPr>
                  <pic:blipFill>
                    <a:blip r:embed="rId713768df1368c4bff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096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00274C"/>
          <w:sz w:val="20"/>
          <w:szCs w:val="20"/>
          <w:u w:val="none"/>
        </w:rPr>
        <w:t xml:space="preserve"> </w:t>
      </w:r>
      <w:r>
        <w:rPr>
          <w:b/>
          <w:bCs/>
          <w:color w:val="00274C"/>
          <w:sz w:val="20"/>
          <w:szCs w:val="20"/>
          <w:u w:val="none"/>
        </w:rPr>
        <w:t xml:space="preserve">  Warning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/>
    <w:p>
      <w:pPr>
        <w:numPr>
          <w:ilvl w:val="0"/>
          <w:numId w:val="13133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Make sure that all the warning lights on the control panel are off when the engine is running.</w:t>
      </w:r>
    </w:p>
    <w:p>
      <w:pPr>
        <w:numPr>
          <w:ilvl w:val="0"/>
          <w:numId w:val="13133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Run at minimum speed for a few minutes according to table (except constant speed engine).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b/>
          <w:bCs/>
          <w:color w:val="00274C"/>
          <w:sz w:val="20"/>
          <w:szCs w:val="20"/>
          <w:u w:val="none"/>
        </w:rPr>
        <w:t xml:space="preserve">NOTE:</w:t>
      </w:r>
      <w:r>
        <w:rPr>
          <w:color w:val="00274C"/>
          <w:sz w:val="20"/>
          <w:szCs w:val="20"/>
          <w:u w:val="none"/>
        </w:rPr>
        <w:t xml:space="preserve"> To avoid damaging the engine do not use it mostly at idle for a long time ( </w:t>
      </w:r>
      <w:r>
        <w:rPr>
          <w:b/>
          <w:bCs/>
          <w:color w:val="00274C"/>
          <w:sz w:val="20"/>
          <w:szCs w:val="20"/>
          <w:u w:val="none"/>
        </w:rPr>
        <w:t xml:space="preserve">MAX 30min.</w:t>
      </w:r>
      <w:r>
        <w:rPr>
          <w:color w:val="00274C"/>
          <w:sz w:val="20"/>
          <w:szCs w:val="20"/>
          <w:u w:val="none"/>
        </w:rPr>
        <w:t xml:space="preserve"> ).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AMBIENT TEMPERATURE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TIME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≤ -20°C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2 minutes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from -20°C a -10°C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1 minutes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from -10°C a -5°C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30 seconds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from -5°C a 5°C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20 seconds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≥ 5°C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15 seconds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274C"/>
          <w:sz w:val="20"/>
          <w:szCs w:val="20"/>
          <w:u w:val="none"/>
        </w:rPr>
        <w:t xml:space="preserve">4.3.3</w:t>
      </w:r>
      <w:r>
        <w:rPr>
          <w:color w:val="00274C"/>
          <w:sz w:val="20"/>
          <w:szCs w:val="20"/>
          <w:u w:val="none"/>
        </w:rPr>
        <w:t xml:space="preserve"> </w:t>
      </w:r>
      <w:r>
        <w:rPr>
          <w:b/>
          <w:bCs/>
          <w:color w:val="00274C"/>
          <w:sz w:val="20"/>
          <w:szCs w:val="20"/>
          <w:u w:val="none"/>
        </w:rPr>
        <w:t xml:space="preserve">Turning off</w:t>
      </w:r>
    </w:p>
    <w:p>
      <w:pPr>
        <w:numPr>
          <w:ilvl w:val="0"/>
          <w:numId w:val="13136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Do not turn off the engine when it is running at the maximum rotation speed (except constant speed engine).</w:t>
      </w:r>
    </w:p>
    <w:p>
      <w:pPr>
        <w:numPr>
          <w:ilvl w:val="0"/>
          <w:numId w:val="13136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Before turning it off, keep it idle at minimum speed for about 1 minute.</w:t>
      </w:r>
    </w:p>
    <w:p>
      <w:pPr>
        <w:numPr>
          <w:ilvl w:val="0"/>
          <w:numId w:val="13136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Turn the key to </w:t>
      </w:r>
      <w:r>
        <w:rPr>
          <w:b/>
          <w:bCs/>
          <w:color w:val="00274C"/>
          <w:sz w:val="20"/>
          <w:szCs w:val="20"/>
          <w:u w:val="none"/>
        </w:rPr>
        <w:t xml:space="preserve">OFF</w:t>
      </w:r>
      <w:r>
        <w:rPr>
          <w:color w:val="00274C"/>
          <w:sz w:val="20"/>
          <w:szCs w:val="20"/>
          <w:u w:val="none"/>
        </w:rPr>
        <w:t xml:space="preserve"> position.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Refuelling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40000</wp:posOffset>
            </wp:positionV>
            <wp:extent cx="360000" cy="309600"/>
            <wp:wrapSquare wrapText="bothSides"/>
            <wp:docPr id="99462475" name="name291068df1368cd711" descr="Z_importante.jpg"/>
            <wp:effectExtent b="0" l="0" r="0" t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_importante.jpg"/>
                    <pic:cNvPicPr/>
                  </pic:nvPicPr>
                  <pic:blipFill>
                    <a:blip r:embed="rId750668df1368cd70d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096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00274C"/>
          <w:sz w:val="20"/>
          <w:szCs w:val="20"/>
          <w:u w:val="none"/>
        </w:rPr>
        <w:t xml:space="preserve"> </w:t>
      </w:r>
      <w:r>
        <w:rPr>
          <w:b/>
          <w:bCs/>
          <w:color w:val="00274C"/>
          <w:sz w:val="20"/>
          <w:szCs w:val="20"/>
          <w:u w:val="none"/>
        </w:rPr>
        <w:t xml:space="preserve">    Important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numPr>
          <w:ilvl w:val="0"/>
          <w:numId w:val="13133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Before proceeding with operation, read  </w:t>
      </w:r>
      <w:hyperlink r:id="rId357168df1368cdee1" w:history="1">
        <w:r>
          <w:rPr>
            <w:rStyle w:val="DefaultParagraphFontPHPDOCX"/>
            <w:b/>
            <w:bCs/>
            <w:color w:val="0000FF"/>
            <w:sz w:val="20"/>
            <w:szCs w:val="20"/>
            <w:u w:val="single" w:color=""/>
          </w:rPr>
          <w:t xml:space="preserve">Par. 3.2.2</w:t>
        </w:r>
      </w:hyperlink>
      <w:r>
        <w:rPr>
          <w:color w:val="00274C"/>
          <w:sz w:val="20"/>
          <w:szCs w:val="20"/>
          <w:u w:val="none"/>
        </w:rPr>
        <w:t xml:space="preserve"> .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40000</wp:posOffset>
            </wp:positionV>
            <wp:extent cx="360000" cy="309600"/>
            <wp:wrapSquare wrapText="bothSides"/>
            <wp:docPr id="83722904" name="name635868df1368d7144" descr="Z_Pericolo.jpg"/>
            <wp:effectExtent b="0" l="0" r="0" t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_Pericolo.jpg"/>
                    <pic:cNvPicPr/>
                  </pic:nvPicPr>
                  <pic:blipFill>
                    <a:blip r:embed="rId244368df1368d71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096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00274C"/>
          <w:sz w:val="20"/>
          <w:szCs w:val="20"/>
          <w:u w:val="none"/>
        </w:rPr>
        <w:t xml:space="preserve">   </w:t>
      </w:r>
      <w:r>
        <w:rPr>
          <w:b/>
          <w:bCs/>
          <w:color w:val="00274C"/>
          <w:sz w:val="20"/>
          <w:szCs w:val="20"/>
          <w:u w:val="none"/>
        </w:rPr>
        <w:t xml:space="preserve">Danger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/>
    <w:p>
      <w:pPr>
        <w:numPr>
          <w:ilvl w:val="0"/>
          <w:numId w:val="13133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Fill the engine off.</w:t>
      </w:r>
    </w:p>
    <w:p>
      <w:pPr>
        <w:numPr>
          <w:ilvl w:val="0"/>
          <w:numId w:val="13133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The only approved fuels are those listed in </w:t>
      </w:r>
      <w:hyperlink r:id="rId617168df1368d7db0" w:history="1">
        <w:r>
          <w:rPr>
            <w:rStyle w:val="DefaultParagraphFontPHPDOCX"/>
            <w:b/>
            <w:bCs/>
            <w:color w:val="0000FF"/>
            <w:sz w:val="20"/>
            <w:szCs w:val="20"/>
            <w:u w:val="single" w:color=""/>
          </w:rPr>
          <w:t xml:space="preserve">Tab. 2.3</w:t>
        </w:r>
      </w:hyperlink>
      <w:r>
        <w:rPr>
          <w:color w:val="00274C"/>
          <w:sz w:val="20"/>
          <w:szCs w:val="20"/>
          <w:u w:val="none"/>
        </w:rPr>
        <w:t xml:space="preserve"> .</w:t>
      </w:r>
    </w:p>
    <w:p>
      <w:pPr>
        <w:numPr>
          <w:ilvl w:val="0"/>
          <w:numId w:val="13133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In those countries where fuel has a high sulphur content, its is advisable to lubricate the engine with a high alkaline oil or alternatively to replace the lubricating oil recommended by </w:t>
      </w:r>
      <w:r>
        <w:rPr>
          <w:b/>
          <w:bCs/>
          <w:color w:val="00274C"/>
          <w:sz w:val="20"/>
          <w:szCs w:val="20"/>
          <w:u w:val="none"/>
        </w:rPr>
        <w:t xml:space="preserve">KOHLER</w:t>
      </w:r>
      <w:r>
        <w:rPr>
          <w:color w:val="00274C"/>
          <w:sz w:val="20"/>
          <w:szCs w:val="20"/>
          <w:u w:val="none"/>
        </w:rPr>
        <w:t xml:space="preserve"> more frequently.</w:t>
      </w:r>
    </w:p>
    <w:p>
      <w:pPr>
        <w:numPr>
          <w:ilvl w:val="0"/>
          <w:numId w:val="13133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To avoid explosions or fire outbreaks, do not smoke or use open flames during the operations.</w:t>
      </w:r>
    </w:p>
    <w:p>
      <w:pPr>
        <w:numPr>
          <w:ilvl w:val="0"/>
          <w:numId w:val="13133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Fuel vapours are highly toxic. Only carry out the operations outdoors or in a well ventilated place.</w:t>
      </w:r>
    </w:p>
    <w:p>
      <w:pPr>
        <w:numPr>
          <w:ilvl w:val="0"/>
          <w:numId w:val="13133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Keep your face well away from the fuel fill to prevent harmful vapours from being inhaled.</w:t>
      </w:r>
    </w:p>
    <w:p>
      <w:pPr>
        <w:numPr>
          <w:ilvl w:val="0"/>
          <w:numId w:val="13133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Dispose of fuel in the correct way and do not litter as it is highly polluting.</w:t>
      </w:r>
    </w:p>
    <w:p>
      <w:pPr>
        <w:numPr>
          <w:ilvl w:val="0"/>
          <w:numId w:val="13133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When refuelling, it is advisable to use a funnel to prevent fuel from spilling out.The fuel should also be filtered to prevent dust or dirt from entering the tank.</w:t>
      </w:r>
    </w:p>
    <w:p>
      <w:pPr>
        <w:numPr>
          <w:ilvl w:val="0"/>
          <w:numId w:val="13133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Do not overfill the fuel tank. Leave room for the fuel to expand.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b/>
          <w:bCs/>
          <w:color w:val="00274C"/>
          <w:sz w:val="20"/>
          <w:szCs w:val="20"/>
          <w:u w:val="none"/>
        </w:rPr>
        <w:br/>
        <w:t xml:space="preserve">NOTE:</w:t>
      </w:r>
      <w:r>
        <w:rPr>
          <w:color w:val="00274C"/>
          <w:sz w:val="20"/>
          <w:szCs w:val="20"/>
          <w:u w:val="none"/>
        </w:rPr>
        <w:t xml:space="preserve"> At the first fuelling or if the tank was empty filling the fuel system  </w:t>
      </w:r>
      <w:r>
        <w:rPr>
          <w:b/>
          <w:bCs/>
          <w:color w:val="00274C"/>
          <w:sz w:val="20"/>
          <w:szCs w:val="20"/>
          <w:u w:val="none"/>
        </w:rPr>
        <w:t xml:space="preserve">( </w:t>
      </w:r>
      <w:hyperlink r:id="rId736668df1368d925a" w:history="1">
        <w:r>
          <w:rPr>
            <w:rStyle w:val="DefaultParagraphFontPHPDOCX"/>
            <w:b/>
            <w:bCs/>
            <w:color w:val="0000FF"/>
            <w:sz w:val="20"/>
            <w:szCs w:val="20"/>
            <w:u w:val="single" w:color=""/>
          </w:rPr>
          <w:t xml:space="preserve">Par. 6.4 point 8</w:t>
        </w:r>
      </w:hyperlink>
      <w:r>
        <w:rPr>
          <w:b/>
          <w:bCs/>
          <w:color w:val="00274C"/>
          <w:sz w:val="20"/>
          <w:szCs w:val="20"/>
          <w:u w:val="none"/>
        </w:rPr>
        <w:t xml:space="preserve"> ).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Oil filling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position w:val="-18"/>
              </w:rPr>
              <w:drawing>
                <wp:anchor distT="0" distB="0" distL="0" distR="0" simplePos="0" relativeHeight="251658240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40000</wp:posOffset>
                  </wp:positionV>
                  <wp:extent cx="360000" cy="309600"/>
                  <wp:wrapSquare wrapText="bothSides"/>
                  <wp:docPr id="6286196" name="name728168df1368de5d1" descr="Z_importante.jpg"/>
                  <wp:effectExtent b="0" l="0" r="0" t="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Z_importante.jpg"/>
                          <pic:cNvPicPr/>
                        </pic:nvPicPr>
                        <pic:blipFill>
                          <a:blip r:embed="rId737068df1368de5cd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09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 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Important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13133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For safety precautions see </w:t>
            </w:r>
            <w:hyperlink r:id="rId524068df1368def81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Par. 2.4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13133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Before proceeding with operation, read  </w:t>
            </w:r>
            <w:hyperlink r:id="rId963768df1368df4f2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single" w:color=""/>
                </w:rPr>
                <w:t xml:space="preserve">Par. 3.2.2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13133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Do not use the engine with the oil level below the minimum.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numPr>
                <w:ilvl w:val="0"/>
                <w:numId w:val="13137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Loosen the oil filler cap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or the oil filler cap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C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if the cap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is not accessible.</w:t>
            </w:r>
          </w:p>
          <w:p>
            <w:pPr>
              <w:numPr>
                <w:ilvl w:val="0"/>
                <w:numId w:val="13137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Add the oil of type recommended ( </w:t>
            </w:r>
            <w:hyperlink r:id="rId910068df1368e034a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single" w:color=""/>
                </w:rPr>
                <w:t xml:space="preserve">Tab. 2.1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and </w:t>
            </w:r>
            <w:hyperlink r:id="rId286568df1368e0535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single" w:color=""/>
                </w:rPr>
                <w:t xml:space="preserve">Tab. 2.2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r>
              <w:rPr>
                <w:position w:val="-228"/>
              </w:rPr>
              <w:drawing>
                <wp:inline distT="0" distB="0" distL="0" distR="0">
                  <wp:extent cx="2246400" cy="1490400"/>
                  <wp:effectExtent b="0" l="0" r="0" t="0"/>
                  <wp:docPr id="21437522" name="name934668df1368edb1c" descr="Fig._4.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ig._4.1.jpg"/>
                          <pic:cNvPicPr/>
                        </pic:nvPicPr>
                        <pic:blipFill>
                          <a:blip r:embed="rId149568df1368edb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46400" cy="14904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br/>
              <w:t xml:space="preserve">Fig 4.1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numPr>
                <w:ilvl w:val="0"/>
                <w:numId w:val="13138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Before checking oil engine needs to be level.</w:t>
            </w:r>
          </w:p>
          <w:p>
            <w:pPr>
              <w:numPr>
                <w:ilvl w:val="0"/>
                <w:numId w:val="13138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Remove the oil dipstick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and check that the level is up to but does not exceed the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MAX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13138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If level is not at the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MAX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 level, add additional oil.</w:t>
            </w:r>
          </w:p>
          <w:p>
            <w:pPr>
              <w:numPr>
                <w:ilvl w:val="0"/>
                <w:numId w:val="13138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Re-tighten the cap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 or C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r>
              <w:rPr>
                <w:position w:val="-224"/>
              </w:rPr>
              <w:drawing>
                <wp:inline distT="0" distB="0" distL="0" distR="0">
                  <wp:extent cx="2246400" cy="1476000"/>
                  <wp:effectExtent b="0" l="0" r="0" t="0"/>
                  <wp:docPr id="26647206" name="name875068df136904d4d" descr="Fig._4.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ig._4.2.jpg"/>
                          <pic:cNvPicPr/>
                        </pic:nvPicPr>
                        <pic:blipFill>
                          <a:blip r:embed="rId510768df136904d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46400" cy="1476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br/>
              <w:t xml:space="preserve">Fig 4.2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NOTE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: Click on the right to play the procedure.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top"/>
            </w:pPr>
            <w:hyperlink r:id="rId624768df13690529f" w:history="1">
              <w:r>
                <w:rPr>
                  <w:rStyle w:val="DefaultParagraphFontPHPDOCX"/>
                  <w:color w:val="0000FF"/>
                  <w:position w:val="0"/>
                  <w:sz w:val="20"/>
                  <w:szCs w:val="20"/>
                  <w:u w:val="single" w:color=""/>
                </w:rPr>
                <w:t xml:space="preserve">https://www.youtube.com/embed/cVpoy_m253A?rel=0</w:t>
              </w:r>
            </w:hyperlink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Coolant filling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40000</wp:posOffset>
            </wp:positionV>
            <wp:extent cx="360000" cy="309600"/>
            <wp:wrapSquare wrapText="bothSides"/>
            <wp:docPr id="10220462" name="name100568df136912716" descr="Z_importante.jpg"/>
            <wp:effectExtent b="0" l="0" r="0" t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_importante.jpg"/>
                    <pic:cNvPicPr/>
                  </pic:nvPicPr>
                  <pic:blipFill>
                    <a:blip r:embed="rId980468df1369127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096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00274C"/>
          <w:sz w:val="20"/>
          <w:szCs w:val="20"/>
          <w:u w:val="none"/>
        </w:rPr>
        <w:t xml:space="preserve"> </w:t>
      </w:r>
      <w:r>
        <w:rPr>
          <w:b/>
          <w:bCs/>
          <w:color w:val="00274C"/>
          <w:sz w:val="20"/>
          <w:szCs w:val="20"/>
          <w:u w:val="none"/>
        </w:rPr>
        <w:t xml:space="preserve">    Important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numPr>
          <w:ilvl w:val="0"/>
          <w:numId w:val="13133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Before proceeding with operation, read  </w:t>
      </w:r>
      <w:hyperlink r:id="rId802568df136912f34" w:history="1">
        <w:r>
          <w:rPr>
            <w:rStyle w:val="DefaultParagraphFontPHPDOCX"/>
            <w:b/>
            <w:bCs/>
            <w:color w:val="0000FF"/>
            <w:sz w:val="20"/>
            <w:szCs w:val="20"/>
            <w:u w:val="single" w:color=""/>
          </w:rPr>
          <w:t xml:space="preserve">Par. 3.2.2</w:t>
        </w:r>
      </w:hyperlink>
      <w:r>
        <w:rPr>
          <w:color w:val="00274C"/>
          <w:sz w:val="20"/>
          <w:szCs w:val="20"/>
          <w:u w:val="none"/>
        </w:rPr>
        <w:t xml:space="preserve"> .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40000</wp:posOffset>
            </wp:positionV>
            <wp:extent cx="360000" cy="309600"/>
            <wp:wrapSquare wrapText="bothSides"/>
            <wp:docPr id="5568950" name="name532668df13691a3d6" descr="Z_Avvertenza.jpg"/>
            <wp:effectExtent b="0" l="0" r="0" t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_Avvertenza.jpg"/>
                    <pic:cNvPicPr/>
                  </pic:nvPicPr>
                  <pic:blipFill>
                    <a:blip r:embed="rId627768df13691a3d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096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00274C"/>
          <w:sz w:val="20"/>
          <w:szCs w:val="20"/>
          <w:u w:val="none"/>
        </w:rPr>
        <w:t xml:space="preserve"> </w:t>
      </w:r>
      <w:r>
        <w:rPr>
          <w:b/>
          <w:bCs/>
          <w:color w:val="00274C"/>
          <w:sz w:val="20"/>
          <w:szCs w:val="20"/>
          <w:u w:val="none"/>
        </w:rPr>
        <w:t xml:space="preserve">  Warning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/>
    <w:p>
      <w:pPr>
        <w:numPr>
          <w:ilvl w:val="0"/>
          <w:numId w:val="13133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An anti-freeze protection liquid (ANTIFREEZE) - mixed with decalcified water - must be used.</w:t>
      </w:r>
    </w:p>
    <w:p>
      <w:pPr>
        <w:numPr>
          <w:ilvl w:val="0"/>
          <w:numId w:val="13133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The freezing point of the refrigerant mixture depends on the amount concentration in water.</w:t>
      </w:r>
    </w:p>
    <w:p>
      <w:pPr>
        <w:numPr>
          <w:ilvl w:val="0"/>
          <w:numId w:val="13133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As well as lowering the freezing point, the antifreeze also raises the boiling point.</w:t>
      </w:r>
    </w:p>
    <w:p>
      <w:pPr>
        <w:numPr>
          <w:ilvl w:val="0"/>
          <w:numId w:val="13133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A 50% mixture is recommended to ensure a general level at protection prevents the formation of rust, galvanic currents and calcium deposits.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NOTE: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Before proceeding with any operation on the engine, stop it and allow it to cool.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br/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position w:val="-18"/>
              </w:rPr>
              <w:drawing>
                <wp:anchor distT="0" distB="0" distL="0" distR="0" simplePos="0" relativeHeight="251658240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40000</wp:posOffset>
                  </wp:positionV>
                  <wp:extent cx="360000" cy="309600"/>
                  <wp:wrapSquare wrapText="bothSides"/>
                  <wp:docPr id="23894740" name="name968568df136921e8a" descr="Z_Avvertenza.jpg"/>
                  <wp:effectExtent b="0" l="0" r="0" t="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Z_Avvertenza.jpg"/>
                          <pic:cNvPicPr/>
                        </pic:nvPicPr>
                        <pic:blipFill>
                          <a:blip r:embed="rId693368df136921e8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09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 Warning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/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
Presence of steam pressurized coolant danger of burns.</w:t>
            </w:r>
          </w:p>
          <w:p>
            <w:pPr>
              <w:numPr>
                <w:ilvl w:val="0"/>
                <w:numId w:val="13139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br/>
              <w:br/>
              <w:br/>
              <w:br/>
              <w:t xml:space="preserve">Loosen the cap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and fill the radiator with coolant composed of: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br/>
              <w:t xml:space="preserve">50% ANTIFREEZE and 50% decalcified water.</w:t>
            </w:r>
          </w:p>
          <w:p>
            <w:pPr>
              <w:numPr>
                <w:ilvl w:val="0"/>
                <w:numId w:val="13139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Top liquid up until the pipes inside the radiator are covered by about 5 mm. Do not overfill the radiator, but leave room for the coolant to expand.</w:t>
            </w:r>
          </w:p>
          <w:p>
            <w:pPr>
              <w:numPr>
                <w:ilvl w:val="0"/>
                <w:numId w:val="13139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For engines equipped with expansion tank, pour in fluid until reaching the max level mark.</w:t>
            </w:r>
          </w:p>
          <w:p>
            <w:pPr>
              <w:numPr>
                <w:ilvl w:val="0"/>
                <w:numId w:val="13139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Loosen the screw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C,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release any air and tighten the screw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C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(Tightening torque of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8 Nm - Fig. 4.6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).</w:t>
            </w:r>
          </w:p>
          <w:p>
            <w:pPr>
              <w:numPr>
                <w:ilvl w:val="0"/>
                <w:numId w:val="13139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Re-tighten the cap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13139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After a few hours of operator, stop the engine and allow the liquid to cool returns to a ambient temperature and check the coolant level again.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top"/>
            </w:pPr>
            <w:r>
              <w:rPr>
                <w:position w:val="-226"/>
              </w:rPr>
              <w:drawing>
                <wp:inline distT="0" distB="0" distL="0" distR="0">
                  <wp:extent cx="2232000" cy="1483200"/>
                  <wp:effectExtent b="0" l="0" r="0" t="0"/>
                  <wp:docPr id="62723797" name="name722968df13692d46c" descr="Fig_3_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ig_3_3.jpg"/>
                          <pic:cNvPicPr/>
                        </pic:nvPicPr>
                        <pic:blipFill>
                          <a:blip r:embed="rId523568df13692d46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2000" cy="14832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br/>
              <w:t xml:space="preserve">Fig. 4.3</w:t>
            </w:r>
          </w:p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top"/>
            </w:pPr>
            <w:r>
              <w:rPr>
                <w:position w:val="-226"/>
              </w:rPr>
              <w:drawing>
                <wp:inline distT="0" distB="0" distL="0" distR="0">
                  <wp:extent cx="2232000" cy="1483200"/>
                  <wp:effectExtent b="0" l="0" r="0" t="0"/>
                  <wp:docPr id="74752187" name="name806368df136939998" descr="Fig._4.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ig._4.4.jpg"/>
                          <pic:cNvPicPr/>
                        </pic:nvPicPr>
                        <pic:blipFill>
                          <a:blip r:embed="rId783368df13693999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2000" cy="14832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top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Fig. 4.4</w:t>
            </w:r>
          </w:p>
          <w:p/>
          <w:p/>
        </w:tc>
      </w:tr>
      <w:tr>
        <w:trPr>
          <w:trHeight w:val="0" w:hRule="atLeast"/>
        </w:trPr>
        <w:tc>
          <w:tcPr>
            <w:tcW w:w="0" w:type="auto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right"/>
              <w:textAlignment w:val="center"/>
            </w:pPr>
            <w:r>
              <w:rPr>
                <w:position w:val="-117"/>
              </w:rPr>
              <w:drawing>
                <wp:inline distT="0" distB="0" distL="0" distR="0">
                  <wp:extent cx="4752000" cy="1533600"/>
                  <wp:effectExtent b="0" l="0" r="0" t="0"/>
                  <wp:docPr id="25121823" name="name444468df13694789e" descr="Fig._4.5_e_4.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ig._4.5_e_4.6.jpg"/>
                          <pic:cNvPicPr/>
                        </pic:nvPicPr>
                        <pic:blipFill>
                          <a:blip r:embed="rId505668df13694789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52000" cy="1533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righ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Fig. 4.5 - Fig. 4.6</w:t>
            </w:r>
          </w:p>
          <w:p/>
          <w:p/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NOTE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: Click on the right to play the procedure.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top"/>
            </w:pPr>
            <w:hyperlink r:id="rId859468df13694806f" w:history="1">
              <w:r>
                <w:rPr>
                  <w:rStyle w:val="DefaultParagraphFontPHPDOCX"/>
                  <w:color w:val="0000FF"/>
                  <w:position w:val="0"/>
                  <w:sz w:val="20"/>
                  <w:szCs w:val="20"/>
                  <w:u w:val="single" w:color=""/>
                </w:rPr>
                <w:t xml:space="preserve">https://www.youtube.com/embed/S79xPhTZMps?rel=0</w:t>
              </w:r>
            </w:hyperlink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ATS regeneration strategy (only for Stage V configurations)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Only for Stage V configurations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 </w:t>
            </w:r>
            <w:hyperlink r:id="rId495868df136948bc6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single" w:color=""/>
                </w:rPr>
                <w:t xml:space="preserve">(see Par. ATS)</w:t>
              </w:r>
            </w:hyperlink>
          </w:p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You can intervene on the machine control panel for the DPF regeneration operations "only if requested by means of specific warning lights or messages on the control panel".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Tab. 4.11 describes the level of particulate accumulation, the relationship with the warning lights that will light up on the panel, the performance limitations of the engine and the operator’s options intervention.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Forced regeneration must be executed in accordance with the machine instructions.</w:t>
            </w:r>
          </w:p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4.11</w:t>
            </w:r>
          </w:p>
          <w:tbl>
            <w:tblPr>
              <w:tblStyle w:val="NormalTablePHPDOCX"/>
              <w:tblCellMar>
                <w:left w:type="dxa" w:w="0"/>
                <w:right w:type="dxa" w:w="0"/>
              </w:tblCellMar>
              <w:tblW w:w="5000" w:type="pct"/>
              <w:tblInd w:w="0" w:type="auto"/>
              <w:tblBorders/>
            </w:tblPr>
            <w:tblGrid>
              <w:gridCol w:w="1"/>
              <w:gridCol w:w="1"/>
              <w:gridCol w:w="1"/>
              <w:gridCol w:w="1"/>
              <w:gridCol w:w="1"/>
            </w:tblGrid>
            <w:tr>
              <w:trPr>
                <w:trHeight w:val="0" w:hRule="atLeast"/>
              </w:trPr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00274C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b/>
                      <w:bCs/>
                      <w:color w:val="FFFFFF"/>
                      <w:position w:val="-2"/>
                      <w:sz w:val="20"/>
                      <w:szCs w:val="20"/>
                      <w:u w:val="none"/>
                      <w:shd w:val="clear" w:color="auto" w:fill="00274C"/>
                    </w:rPr>
                    <w:t xml:space="preserve">SOOT LEVEL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00274C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b/>
                      <w:bCs/>
                      <w:color w:val="FFFFFF"/>
                      <w:position w:val="-2"/>
                      <w:sz w:val="20"/>
                      <w:szCs w:val="20"/>
                      <w:u w:val="none"/>
                      <w:shd w:val="clear" w:color="auto" w:fill="00274C"/>
                    </w:rPr>
                    <w:t xml:space="preserve">WARNING LAMPS *1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00274C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b/>
                      <w:bCs/>
                      <w:color w:val="FFFFFF"/>
                      <w:position w:val="-2"/>
                      <w:sz w:val="20"/>
                      <w:szCs w:val="20"/>
                      <w:u w:val="none"/>
                      <w:shd w:val="clear" w:color="auto" w:fill="00274C"/>
                    </w:rPr>
                    <w:t xml:space="preserve">ENGINE DE-RATE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00274C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hd w:val="clear" w:color="auto" w:fill="00274C"/>
                    <w:spacing w:before="0" w:after="0" w:line="262" w:lineRule="auto"/>
                    <w:ind w:left="0" w:right="0"/>
                    <w:jc w:val="center"/>
                    <w:textAlignment w:val="center"/>
                  </w:pPr>
                  <w:r>
                    <w:rPr>
                      <w:b/>
                      <w:bCs/>
                      <w:color w:val="FFFFFF"/>
                      <w:position w:val="-2"/>
                      <w:sz w:val="20"/>
                      <w:szCs w:val="20"/>
                      <w:u w:val="none"/>
                      <w:shd w:val="clear" w:color="auto" w:fill="00274C"/>
                    </w:rPr>
                    <w:t xml:space="preserve">OPERATOR POSSIBLE ACTIONS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00274C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hd w:val="clear" w:color="auto" w:fill="00274C"/>
                    <w:spacing w:before="0" w:after="0" w:line="262" w:lineRule="auto"/>
                    <w:ind w:left="0" w:right="0"/>
                    <w:jc w:val="center"/>
                    <w:textAlignment w:val="center"/>
                  </w:pPr>
                  <w:r>
                    <w:rPr>
                      <w:b/>
                      <w:bCs/>
                      <w:color w:val="FFFFFF"/>
                      <w:position w:val="-2"/>
                      <w:sz w:val="20"/>
                      <w:szCs w:val="20"/>
                      <w:u w:val="none"/>
                      <w:shd w:val="clear" w:color="auto" w:fill="00274C"/>
                    </w:rPr>
                    <w:t xml:space="preserve">OPERATING CONDITIONS</w:t>
                  </w:r>
                </w:p>
              </w:tc>
            </w:tr>
            <w:tr>
              <w:trPr>
                <w:trHeight w:val="0" w:hRule="atLeast"/>
              </w:trPr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b/>
                      <w:bCs/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Level 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/>
                <w:p/>
                <w:p/>
                <w:p/>
              </w:tc>
              <w:tc>
                <w:tcPr>
                  <w:tcW w:w="0" w:type="auto"/>
                  <w:vMerge w:val="restart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numPr>
                      <w:ilvl w:val="0"/>
                      <w:numId w:val="13133"/>
                    </w:numPr>
                    <w:shd w:val="clear" w:color="auto" w:fill="E1E2E0"/>
                    <w:spacing w:before="0" w:after="0" w:line="262" w:lineRule="auto"/>
                    <w:jc w:val="left"/>
                    <w:rPr>
                      <w:color w:val="00274C"/>
                      <w:sz w:val="20"/>
                      <w:szCs w:val="20"/>
                      <w:highlight w:val="lightGray"/>
                    </w:rPr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No condition</w:t>
                  </w:r>
                </w:p>
              </w:tc>
            </w:tr>
            <w:tr>
              <w:trPr>
                <w:trHeight w:val="0" w:hRule="atLeast"/>
              </w:trPr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b/>
                      <w:bCs/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Level</w:t>
                  </w: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 </w:t>
                  </w:r>
                  <w:r>
                    <w:rPr>
                      <w:b/>
                      <w:bCs/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 1</w:t>
                  </w:r>
                </w:p>
              </w:tc>
              <w:tc>
                <w:tcPr>
                  <w:gridSpan w:val="1"/>
                  <w:vMerge w:val="continue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</w:tcPr>
                <w:p/>
              </w:tc>
              <w:tc>
                <w:tcPr>
                  <w:gridSpan w:val="1"/>
                  <w:vMerge w:val="continue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</w:tcPr>
                <w:p/>
              </w:tc>
              <w:tc>
                <w:tcPr>
                  <w:gridSpan w:val="1"/>
                  <w:vMerge w:val="continue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</w:tcPr>
                <w:p/>
              </w:tc>
              <w:tc>
                <w:tcPr>
                  <w:gridSpan w:val="1"/>
                  <w:vMerge w:val="continue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</w:tcPr>
                <w:p/>
              </w:tc>
            </w:tr>
            <w:tr>
              <w:trPr>
                <w:trHeight w:val="0" w:hRule="atLeast"/>
              </w:trPr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b/>
                      <w:bCs/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Level</w:t>
                  </w: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 </w:t>
                  </w:r>
                  <w:r>
                    <w:rPr>
                      <w:b/>
                      <w:bCs/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 2</w:t>
                  </w:r>
                </w:p>
              </w:tc>
              <w:tc>
                <w:tcPr>
                  <w:gridSpan w:val="1"/>
                  <w:vMerge w:val="continue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</w:tcPr>
                <w:p/>
              </w:tc>
              <w:tc>
                <w:tcPr>
                  <w:gridSpan w:val="1"/>
                  <w:vMerge w:val="continue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</w:tcPr>
                <w:p/>
              </w:tc>
              <w:tc>
                <w:tcPr>
                  <w:gridSpan w:val="1"/>
                  <w:vMerge w:val="continue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</w:tcPr>
                <w:p/>
              </w:tc>
              <w:tc>
                <w:tcPr>
                  <w:gridSpan w:val="1"/>
                  <w:vMerge w:val="continue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</w:tcPr>
                <w:p/>
              </w:tc>
            </w:tr>
            <w:tr>
              <w:trPr>
                <w:trHeight w:val="0" w:hRule="atLeast"/>
              </w:trPr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b/>
                      <w:bCs/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Level</w:t>
                  </w: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 </w:t>
                  </w:r>
                  <w:r>
                    <w:rPr>
                      <w:b/>
                      <w:bCs/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 3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hd w:val="clear" w:color="auto" w:fill="E1E2E0"/>
                    <w:spacing w:before="0" w:after="0" w:line="262" w:lineRule="auto"/>
                    <w:ind w:left="0" w:right="0"/>
                    <w:jc w:val="center"/>
                    <w:textAlignment w:val="center"/>
                  </w:pPr>
                  <w:r>
                    <w:rPr>
                      <w:position w:val="-38"/>
                    </w:rPr>
                    <w:drawing>
                      <wp:inline distT="0" distB="0" distL="0" distR="0">
                        <wp:extent cx="1108800" cy="554400"/>
                        <wp:effectExtent b="0" l="0" r="0" t="0"/>
                        <wp:docPr id="9158345" name="name259968df13695609c" descr="DPF_high_soot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DPF_high_soot.png"/>
                                <pic:cNvPicPr/>
                              </pic:nvPicPr>
                              <pic:blipFill>
                                <a:blip r:embed="rId258068df13695609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08800" cy="554400"/>
                                </a:xfrm>
                                <a:prstGeom prst="rect">
                                  <a:avLst/>
                                </a:prstGeom>
                                <a:ln w="0"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widowControl w:val="on"/>
                    <w:pBdr/>
                    <w:shd w:val="clear" w:color="auto" w:fill="E1E2E0"/>
                    <w:spacing w:before="0" w:after="0" w:line="262" w:lineRule="auto"/>
                    <w:ind w:left="0" w:right="0"/>
                    <w:jc w:val="center"/>
                    <w:textAlignment w:val="center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Fixed</w:t>
                  </w:r>
                </w:p>
              </w:tc>
              <w:tc>
                <w:tcPr>
                  <w:gridSpan w:val="1"/>
                  <w:vMerge w:val="continue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</w:tcPr>
                <w:p/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Forced Regeneration is Necessary.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numPr>
                      <w:ilvl w:val="0"/>
                      <w:numId w:val="13133"/>
                    </w:numPr>
                    <w:shd w:val="clear" w:color="auto" w:fill="E1E2E0"/>
                    <w:spacing w:before="0" w:after="0" w:line="262" w:lineRule="auto"/>
                    <w:jc w:val="left"/>
                    <w:rPr>
                      <w:color w:val="00274C"/>
                      <w:sz w:val="20"/>
                      <w:szCs w:val="20"/>
                      <w:highlight w:val="lightGray"/>
                    </w:rPr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Coolant temperature at 60 °C </w:t>
                  </w:r>
                </w:p>
                <w:p>
                  <w:pPr>
                    <w:numPr>
                      <w:ilvl w:val="0"/>
                      <w:numId w:val="13133"/>
                    </w:numPr>
                    <w:shd w:val="clear" w:color="auto" w:fill="E1E2E0"/>
                    <w:spacing w:before="0" w:after="0" w:line="262" w:lineRule="auto"/>
                    <w:jc w:val="left"/>
                    <w:rPr>
                      <w:color w:val="00274C"/>
                      <w:sz w:val="20"/>
                      <w:szCs w:val="20"/>
                      <w:highlight w:val="lightGray"/>
                    </w:rPr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Do not switch the engine off </w:t>
                  </w:r>
                </w:p>
                <w:p>
                  <w:pPr>
                    <w:numPr>
                      <w:ilvl w:val="0"/>
                      <w:numId w:val="13133"/>
                    </w:numPr>
                    <w:shd w:val="clear" w:color="auto" w:fill="E1E2E0"/>
                    <w:spacing w:before="0" w:after="0" w:line="262" w:lineRule="auto"/>
                    <w:jc w:val="left"/>
                    <w:rPr>
                      <w:color w:val="00274C"/>
                      <w:sz w:val="20"/>
                      <w:szCs w:val="20"/>
                      <w:highlight w:val="lightGray"/>
                    </w:rPr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Stationary vehicle </w:t>
                  </w:r>
                </w:p>
                <w:p>
                  <w:pPr>
                    <w:numPr>
                      <w:ilvl w:val="0"/>
                      <w:numId w:val="13133"/>
                    </w:numPr>
                    <w:shd w:val="clear" w:color="auto" w:fill="E1E2E0"/>
                    <w:spacing w:before="0" w:after="0" w:line="262" w:lineRule="auto"/>
                    <w:jc w:val="left"/>
                    <w:rPr>
                      <w:color w:val="00274C"/>
                      <w:sz w:val="20"/>
                      <w:szCs w:val="20"/>
                      <w:highlight w:val="lightGray"/>
                    </w:rPr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No load applied to the engine *2</w:t>
                  </w:r>
                </w:p>
              </w:tc>
            </w:tr>
            <w:tr>
              <w:trPr>
                <w:trHeight w:val="0" w:hRule="atLeast"/>
              </w:trPr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b/>
                      <w:bCs/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Level</w:t>
                  </w: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 </w:t>
                  </w:r>
                  <w:r>
                    <w:rPr>
                      <w:b/>
                      <w:bCs/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 4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hd w:val="clear" w:color="auto" w:fill="E1E2E0"/>
                    <w:spacing w:before="0" w:after="0" w:line="262" w:lineRule="auto"/>
                    <w:ind w:left="0" w:right="0"/>
                    <w:jc w:val="center"/>
                    <w:textAlignment w:val="center"/>
                  </w:pPr>
                  <w:r>
                    <w:rPr>
                      <w:position w:val="-38"/>
                    </w:rPr>
                    <w:drawing>
                      <wp:inline distT="0" distB="0" distL="0" distR="0">
                        <wp:extent cx="1108800" cy="554400"/>
                        <wp:effectExtent b="0" l="0" r="0" t="0"/>
                        <wp:docPr id="13125817" name="name522768df13695d03c" descr="DPF_high_soot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DPF_high_soot.png"/>
                                <pic:cNvPicPr/>
                              </pic:nvPicPr>
                              <pic:blipFill>
                                <a:blip r:embed="rId687368df13695d03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08800" cy="554400"/>
                                </a:xfrm>
                                <a:prstGeom prst="rect">
                                  <a:avLst/>
                                </a:prstGeom>
                                <a:ln w="0"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widowControl w:val="on"/>
                    <w:pBdr/>
                    <w:shd w:val="clear" w:color="auto" w:fill="E1E2E0"/>
                    <w:spacing w:before="0" w:after="0" w:line="262" w:lineRule="auto"/>
                    <w:ind w:left="0" w:right="0"/>
                    <w:jc w:val="center"/>
                    <w:textAlignment w:val="center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Flashing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Engine de-rate.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Forced Regeneration is Necessary.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numPr>
                      <w:ilvl w:val="0"/>
                      <w:numId w:val="13133"/>
                    </w:numPr>
                    <w:shd w:val="clear" w:color="auto" w:fill="E1E2E0"/>
                    <w:spacing w:before="0" w:after="0" w:line="262" w:lineRule="auto"/>
                    <w:jc w:val="left"/>
                    <w:rPr>
                      <w:color w:val="00274C"/>
                      <w:sz w:val="20"/>
                      <w:szCs w:val="20"/>
                      <w:highlight w:val="lightGray"/>
                    </w:rPr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Coolant temperature at 60 °C </w:t>
                  </w:r>
                </w:p>
                <w:p>
                  <w:pPr>
                    <w:numPr>
                      <w:ilvl w:val="0"/>
                      <w:numId w:val="13133"/>
                    </w:numPr>
                    <w:shd w:val="clear" w:color="auto" w:fill="E1E2E0"/>
                    <w:spacing w:before="0" w:after="0" w:line="262" w:lineRule="auto"/>
                    <w:jc w:val="left"/>
                    <w:rPr>
                      <w:color w:val="00274C"/>
                      <w:sz w:val="20"/>
                      <w:szCs w:val="20"/>
                      <w:highlight w:val="lightGray"/>
                    </w:rPr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Do not switch the engine off </w:t>
                  </w:r>
                </w:p>
                <w:p>
                  <w:pPr>
                    <w:numPr>
                      <w:ilvl w:val="0"/>
                      <w:numId w:val="13133"/>
                    </w:numPr>
                    <w:shd w:val="clear" w:color="auto" w:fill="E1E2E0"/>
                    <w:spacing w:before="0" w:after="0" w:line="262" w:lineRule="auto"/>
                    <w:jc w:val="left"/>
                    <w:rPr>
                      <w:color w:val="00274C"/>
                      <w:sz w:val="20"/>
                      <w:szCs w:val="20"/>
                      <w:highlight w:val="lightGray"/>
                    </w:rPr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Stationary vehicle </w:t>
                  </w:r>
                </w:p>
                <w:p>
                  <w:pPr>
                    <w:numPr>
                      <w:ilvl w:val="0"/>
                      <w:numId w:val="13133"/>
                    </w:numPr>
                    <w:shd w:val="clear" w:color="auto" w:fill="E1E2E0"/>
                    <w:spacing w:before="0" w:after="0" w:line="262" w:lineRule="auto"/>
                    <w:jc w:val="left"/>
                    <w:rPr>
                      <w:color w:val="00274C"/>
                      <w:sz w:val="20"/>
                      <w:szCs w:val="20"/>
                      <w:highlight w:val="lightGray"/>
                    </w:rPr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No load applied to the engine *2</w:t>
                  </w:r>
                </w:p>
              </w:tc>
            </w:tr>
            <w:tr>
              <w:trPr>
                <w:trHeight w:val="0" w:hRule="atLeast"/>
              </w:trPr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b/>
                      <w:bCs/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Level</w:t>
                  </w: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 </w:t>
                  </w:r>
                  <w:r>
                    <w:rPr>
                      <w:b/>
                      <w:bCs/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 5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hd w:val="clear" w:color="auto" w:fill="E1E2E0"/>
                    <w:spacing w:before="0" w:after="0" w:line="262" w:lineRule="auto"/>
                    <w:ind w:left="0" w:right="0"/>
                    <w:jc w:val="center"/>
                    <w:textAlignment w:val="center"/>
                  </w:pPr>
                  <w:r>
                    <w:rPr>
                      <w:position w:val="-36"/>
                    </w:rPr>
                    <w:drawing>
                      <wp:inline distT="0" distB="0" distL="0" distR="0">
                        <wp:extent cx="1065600" cy="532800"/>
                        <wp:effectExtent b="0" l="0" r="0" t="0"/>
                        <wp:docPr id="99972722" name="name965868df13697265f" descr="DPF_STOP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DPF_STOP.png"/>
                                <pic:cNvPicPr/>
                              </pic:nvPicPr>
                              <pic:blipFill>
                                <a:blip r:embed="rId670368df13697265a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65600" cy="532800"/>
                                </a:xfrm>
                                <a:prstGeom prst="rect">
                                  <a:avLst/>
                                </a:prstGeom>
                                <a:ln w="0"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widowControl w:val="on"/>
                    <w:pBdr/>
                    <w:shd w:val="clear" w:color="auto" w:fill="E1E2E0"/>
                    <w:spacing w:before="0" w:after="0" w:line="262" w:lineRule="auto"/>
                    <w:ind w:left="0" w:right="0"/>
                    <w:jc w:val="center"/>
                    <w:textAlignment w:val="center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Flashing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Strong Engine de-rate.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hd w:val="clear" w:color="auto" w:fill="E1E2E0"/>
                    <w:spacing w:before="0" w:after="0" w:line="262" w:lineRule="auto"/>
                    <w:ind w:left="0" w:right="0"/>
                    <w:jc w:val="center"/>
                    <w:textAlignment w:val="center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Contact an authorized KOHLER workshop.</w:t>
                  </w:r>
                </w:p>
                <w:p>
                  <w:pPr>
                    <w:widowControl w:val="on"/>
                    <w:pBdr/>
                    <w:shd w:val="clear" w:color="auto" w:fill="E1E2E0"/>
                    <w:spacing w:before="0" w:after="0" w:line="262" w:lineRule="auto"/>
                    <w:ind w:left="0" w:right="0"/>
                    <w:jc w:val="center"/>
                    <w:textAlignment w:val="center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Service Regeneration Required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hd w:val="clear" w:color="auto" w:fill="E1E2E0"/>
                    <w:spacing w:before="0" w:after="0" w:line="262" w:lineRule="auto"/>
                    <w:ind w:left="0" w:right="0"/>
                    <w:jc w:val="left"/>
                    <w:textAlignment w:val="center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REGENERATION via Kohler software</w:t>
                  </w:r>
                </w:p>
              </w:tc>
            </w:tr>
          </w:tbl>
          <w:p/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*1: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The warning lights be different – consult the machine manual.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*2: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Unless stated otherwise in the machine manual.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position w:val="-18"/>
              </w:rPr>
              <w:drawing>
                <wp:anchor distT="0" distB="0" distL="0" distR="0" simplePos="0" relativeHeight="251658240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40000</wp:posOffset>
                  </wp:positionV>
                  <wp:extent cx="360000" cy="309600"/>
                  <wp:wrapSquare wrapText="bothSides"/>
                  <wp:docPr id="27847307" name="name705068df136979951" descr="Z_Avvertenza.jpg"/>
                  <wp:effectExtent b="0" l="0" r="0" t="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Z_Avvertenza.jpg"/>
                          <pic:cNvPicPr/>
                        </pic:nvPicPr>
                        <pic:blipFill>
                          <a:blip r:embed="rId619768df13697994d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09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  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/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Warning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13133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Forced regenerations must only be executed if required by the ECU when the "HIGH SOOT" warning light goes on (due to a Level 3 - 5 particulate accumulation).</w:t>
            </w:r>
          </w:p>
          <w:p>
            <w:pPr>
              <w:numPr>
                <w:ilvl w:val="0"/>
                <w:numId w:val="13133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Do NOT execute the forced regenerations if not required by the ECU (due to a Level 0 - 2 particulate accumulation).</w:t>
            </w:r>
          </w:p>
          <w:p>
            <w:pPr>
              <w:numPr>
                <w:ilvl w:val="0"/>
                <w:numId w:val="13133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The minimum engine speed increases during the forced regeneration phases.</w:t>
            </w:r>
          </w:p>
          <w:p>
            <w:pPr>
              <w:numPr>
                <w:ilvl w:val="0"/>
                <w:numId w:val="13133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Repeated forced regenerations cause significant engine oil contamination by the fuel.</w:t>
            </w:r>
          </w:p>
          <w:p>
            <w:pPr>
              <w:numPr>
                <w:ilvl w:val="0"/>
                <w:numId w:val="13133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The operations described in Par. 5.3 or 5.4 must be executed after every forced regeneration.</w:t>
            </w:r>
          </w:p>
          <w:p>
            <w:pPr>
              <w:numPr>
                <w:ilvl w:val="0"/>
                <w:numId w:val="13133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If the regeneration inhibition function is misused, the particulate accumulation level will increase within a short time.</w:t>
            </w:r>
          </w:p>
          <w:p>
            <w:pPr>
              <w:numPr>
                <w:ilvl w:val="0"/>
                <w:numId w:val="13133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The engine oil filter and oil must be changed after a Service Regeneration is completed via KOHLER software</w:t>
            </w:r>
          </w:p>
          <w:p>
            <w:pPr>
              <w:numPr>
                <w:ilvl w:val="0"/>
                <w:numId w:val="13133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(Level 5 Particulate accumulation).</w:t>
            </w:r>
          </w:p>
          <w:p>
            <w:pPr>
              <w:numPr>
                <w:ilvl w:val="0"/>
                <w:numId w:val="13133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Fuel contamination allowed in the engine oil is 3% MAX.</w:t>
            </w:r>
          </w:p>
          <w:p>
            <w:pPr>
              <w:numPr>
                <w:ilvl w:val="0"/>
                <w:numId w:val="13133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Any engine load must be eliminated during forced regeneration so as to prevent damaging the ATS *2 system. </w:t>
            </w:r>
          </w:p>
          <w:p>
            <w:pPr>
              <w:numPr>
                <w:ilvl w:val="0"/>
                <w:numId w:val="13133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Do not switch the engine off during level 3, 4 and 5 regeneration so as to prevent damaging the ATS system.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13139">
    <w:multiLevelType w:val="hybridMultilevel"/>
    <w:lvl w:ilvl="0" w:tplc="16731505">
      <w:start w:val="1"/>
      <w:numFmt w:val="decimal"/>
      <w:lvlText w:val="%1."/>
      <w:lvlJc w:val="left"/>
      <w:pPr>
        <w:ind w:left="720" w:hanging="360"/>
      </w:pPr>
    </w:lvl>
    <w:lvl w:ilvl="1" w:tplc="16731505" w:tentative="1">
      <w:start w:val="1"/>
      <w:numFmt w:val="lowerLetter"/>
      <w:lvlText w:val="%2."/>
      <w:lvlJc w:val="left"/>
      <w:pPr>
        <w:ind w:left="1440" w:hanging="360"/>
      </w:pPr>
    </w:lvl>
    <w:lvl w:ilvl="2" w:tplc="16731505" w:tentative="1">
      <w:start w:val="1"/>
      <w:numFmt w:val="lowerRoman"/>
      <w:lvlText w:val="%3."/>
      <w:lvlJc w:val="right"/>
      <w:pPr>
        <w:ind w:left="2160" w:hanging="180"/>
      </w:pPr>
    </w:lvl>
    <w:lvl w:ilvl="3" w:tplc="16731505" w:tentative="1">
      <w:start w:val="1"/>
      <w:numFmt w:val="decimal"/>
      <w:lvlText w:val="%4."/>
      <w:lvlJc w:val="left"/>
      <w:pPr>
        <w:ind w:left="2880" w:hanging="360"/>
      </w:pPr>
    </w:lvl>
    <w:lvl w:ilvl="4" w:tplc="16731505" w:tentative="1">
      <w:start w:val="1"/>
      <w:numFmt w:val="lowerLetter"/>
      <w:lvlText w:val="%5."/>
      <w:lvlJc w:val="left"/>
      <w:pPr>
        <w:ind w:left="3600" w:hanging="360"/>
      </w:pPr>
    </w:lvl>
    <w:lvl w:ilvl="5" w:tplc="16731505" w:tentative="1">
      <w:start w:val="1"/>
      <w:numFmt w:val="lowerRoman"/>
      <w:lvlText w:val="%6."/>
      <w:lvlJc w:val="right"/>
      <w:pPr>
        <w:ind w:left="4320" w:hanging="180"/>
      </w:pPr>
    </w:lvl>
    <w:lvl w:ilvl="6" w:tplc="16731505" w:tentative="1">
      <w:start w:val="1"/>
      <w:numFmt w:val="decimal"/>
      <w:lvlText w:val="%7."/>
      <w:lvlJc w:val="left"/>
      <w:pPr>
        <w:ind w:left="5040" w:hanging="360"/>
      </w:pPr>
    </w:lvl>
    <w:lvl w:ilvl="7" w:tplc="16731505" w:tentative="1">
      <w:start w:val="1"/>
      <w:numFmt w:val="lowerLetter"/>
      <w:lvlText w:val="%8."/>
      <w:lvlJc w:val="left"/>
      <w:pPr>
        <w:ind w:left="5760" w:hanging="360"/>
      </w:pPr>
    </w:lvl>
    <w:lvl w:ilvl="8" w:tplc="167315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38">
    <w:multiLevelType w:val="hybridMultilevel"/>
    <w:lvl w:ilvl="0" w:tplc="64379254">
      <w:start w:val="1"/>
      <w:numFmt w:val="decimal"/>
      <w:lvlText w:val="%1."/>
      <w:lvlJc w:val="left"/>
      <w:pPr>
        <w:ind w:left="720" w:hanging="360"/>
      </w:pPr>
    </w:lvl>
    <w:lvl w:ilvl="1" w:tplc="64379254" w:tentative="1">
      <w:start w:val="1"/>
      <w:numFmt w:val="lowerLetter"/>
      <w:lvlText w:val="%2."/>
      <w:lvlJc w:val="left"/>
      <w:pPr>
        <w:ind w:left="1440" w:hanging="360"/>
      </w:pPr>
    </w:lvl>
    <w:lvl w:ilvl="2" w:tplc="64379254" w:tentative="1">
      <w:start w:val="1"/>
      <w:numFmt w:val="lowerRoman"/>
      <w:lvlText w:val="%3."/>
      <w:lvlJc w:val="right"/>
      <w:pPr>
        <w:ind w:left="2160" w:hanging="180"/>
      </w:pPr>
    </w:lvl>
    <w:lvl w:ilvl="3" w:tplc="64379254" w:tentative="1">
      <w:start w:val="1"/>
      <w:numFmt w:val="decimal"/>
      <w:lvlText w:val="%4."/>
      <w:lvlJc w:val="left"/>
      <w:pPr>
        <w:ind w:left="2880" w:hanging="360"/>
      </w:pPr>
    </w:lvl>
    <w:lvl w:ilvl="4" w:tplc="64379254" w:tentative="1">
      <w:start w:val="1"/>
      <w:numFmt w:val="lowerLetter"/>
      <w:lvlText w:val="%5."/>
      <w:lvlJc w:val="left"/>
      <w:pPr>
        <w:ind w:left="3600" w:hanging="360"/>
      </w:pPr>
    </w:lvl>
    <w:lvl w:ilvl="5" w:tplc="64379254" w:tentative="1">
      <w:start w:val="1"/>
      <w:numFmt w:val="lowerRoman"/>
      <w:lvlText w:val="%6."/>
      <w:lvlJc w:val="right"/>
      <w:pPr>
        <w:ind w:left="4320" w:hanging="180"/>
      </w:pPr>
    </w:lvl>
    <w:lvl w:ilvl="6" w:tplc="64379254" w:tentative="1">
      <w:start w:val="1"/>
      <w:numFmt w:val="decimal"/>
      <w:lvlText w:val="%7."/>
      <w:lvlJc w:val="left"/>
      <w:pPr>
        <w:ind w:left="5040" w:hanging="360"/>
      </w:pPr>
    </w:lvl>
    <w:lvl w:ilvl="7" w:tplc="64379254" w:tentative="1">
      <w:start w:val="1"/>
      <w:numFmt w:val="lowerLetter"/>
      <w:lvlText w:val="%8."/>
      <w:lvlJc w:val="left"/>
      <w:pPr>
        <w:ind w:left="5760" w:hanging="360"/>
      </w:pPr>
    </w:lvl>
    <w:lvl w:ilvl="8" w:tplc="643792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37">
    <w:multiLevelType w:val="hybridMultilevel"/>
    <w:lvl w:ilvl="0" w:tplc="34968132">
      <w:start w:val="1"/>
      <w:numFmt w:val="decimal"/>
      <w:lvlText w:val="%1."/>
      <w:lvlJc w:val="left"/>
      <w:pPr>
        <w:ind w:left="720" w:hanging="360"/>
      </w:pPr>
    </w:lvl>
    <w:lvl w:ilvl="1" w:tplc="34968132" w:tentative="1">
      <w:start w:val="1"/>
      <w:numFmt w:val="lowerLetter"/>
      <w:lvlText w:val="%2."/>
      <w:lvlJc w:val="left"/>
      <w:pPr>
        <w:ind w:left="1440" w:hanging="360"/>
      </w:pPr>
    </w:lvl>
    <w:lvl w:ilvl="2" w:tplc="34968132" w:tentative="1">
      <w:start w:val="1"/>
      <w:numFmt w:val="lowerRoman"/>
      <w:lvlText w:val="%3."/>
      <w:lvlJc w:val="right"/>
      <w:pPr>
        <w:ind w:left="2160" w:hanging="180"/>
      </w:pPr>
    </w:lvl>
    <w:lvl w:ilvl="3" w:tplc="34968132" w:tentative="1">
      <w:start w:val="1"/>
      <w:numFmt w:val="decimal"/>
      <w:lvlText w:val="%4."/>
      <w:lvlJc w:val="left"/>
      <w:pPr>
        <w:ind w:left="2880" w:hanging="360"/>
      </w:pPr>
    </w:lvl>
    <w:lvl w:ilvl="4" w:tplc="34968132" w:tentative="1">
      <w:start w:val="1"/>
      <w:numFmt w:val="lowerLetter"/>
      <w:lvlText w:val="%5."/>
      <w:lvlJc w:val="left"/>
      <w:pPr>
        <w:ind w:left="3600" w:hanging="360"/>
      </w:pPr>
    </w:lvl>
    <w:lvl w:ilvl="5" w:tplc="34968132" w:tentative="1">
      <w:start w:val="1"/>
      <w:numFmt w:val="lowerRoman"/>
      <w:lvlText w:val="%6."/>
      <w:lvlJc w:val="right"/>
      <w:pPr>
        <w:ind w:left="4320" w:hanging="180"/>
      </w:pPr>
    </w:lvl>
    <w:lvl w:ilvl="6" w:tplc="34968132" w:tentative="1">
      <w:start w:val="1"/>
      <w:numFmt w:val="decimal"/>
      <w:lvlText w:val="%7."/>
      <w:lvlJc w:val="left"/>
      <w:pPr>
        <w:ind w:left="5040" w:hanging="360"/>
      </w:pPr>
    </w:lvl>
    <w:lvl w:ilvl="7" w:tplc="34968132" w:tentative="1">
      <w:start w:val="1"/>
      <w:numFmt w:val="lowerLetter"/>
      <w:lvlText w:val="%8."/>
      <w:lvlJc w:val="left"/>
      <w:pPr>
        <w:ind w:left="5760" w:hanging="360"/>
      </w:pPr>
    </w:lvl>
    <w:lvl w:ilvl="8" w:tplc="349681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36">
    <w:multiLevelType w:val="hybridMultilevel"/>
    <w:lvl w:ilvl="0" w:tplc="43169132">
      <w:start w:val="1"/>
      <w:numFmt w:val="decimal"/>
      <w:lvlText w:val="%1."/>
      <w:lvlJc w:val="left"/>
      <w:pPr>
        <w:ind w:left="720" w:hanging="360"/>
      </w:pPr>
    </w:lvl>
    <w:lvl w:ilvl="1" w:tplc="43169132" w:tentative="1">
      <w:start w:val="1"/>
      <w:numFmt w:val="lowerLetter"/>
      <w:lvlText w:val="%2."/>
      <w:lvlJc w:val="left"/>
      <w:pPr>
        <w:ind w:left="1440" w:hanging="360"/>
      </w:pPr>
    </w:lvl>
    <w:lvl w:ilvl="2" w:tplc="43169132" w:tentative="1">
      <w:start w:val="1"/>
      <w:numFmt w:val="lowerRoman"/>
      <w:lvlText w:val="%3."/>
      <w:lvlJc w:val="right"/>
      <w:pPr>
        <w:ind w:left="2160" w:hanging="180"/>
      </w:pPr>
    </w:lvl>
    <w:lvl w:ilvl="3" w:tplc="43169132" w:tentative="1">
      <w:start w:val="1"/>
      <w:numFmt w:val="decimal"/>
      <w:lvlText w:val="%4."/>
      <w:lvlJc w:val="left"/>
      <w:pPr>
        <w:ind w:left="2880" w:hanging="360"/>
      </w:pPr>
    </w:lvl>
    <w:lvl w:ilvl="4" w:tplc="43169132" w:tentative="1">
      <w:start w:val="1"/>
      <w:numFmt w:val="lowerLetter"/>
      <w:lvlText w:val="%5."/>
      <w:lvlJc w:val="left"/>
      <w:pPr>
        <w:ind w:left="3600" w:hanging="360"/>
      </w:pPr>
    </w:lvl>
    <w:lvl w:ilvl="5" w:tplc="43169132" w:tentative="1">
      <w:start w:val="1"/>
      <w:numFmt w:val="lowerRoman"/>
      <w:lvlText w:val="%6."/>
      <w:lvlJc w:val="right"/>
      <w:pPr>
        <w:ind w:left="4320" w:hanging="180"/>
      </w:pPr>
    </w:lvl>
    <w:lvl w:ilvl="6" w:tplc="43169132" w:tentative="1">
      <w:start w:val="1"/>
      <w:numFmt w:val="decimal"/>
      <w:lvlText w:val="%7."/>
      <w:lvlJc w:val="left"/>
      <w:pPr>
        <w:ind w:left="5040" w:hanging="360"/>
      </w:pPr>
    </w:lvl>
    <w:lvl w:ilvl="7" w:tplc="43169132" w:tentative="1">
      <w:start w:val="1"/>
      <w:numFmt w:val="lowerLetter"/>
      <w:lvlText w:val="%8."/>
      <w:lvlJc w:val="left"/>
      <w:pPr>
        <w:ind w:left="5760" w:hanging="360"/>
      </w:pPr>
    </w:lvl>
    <w:lvl w:ilvl="8" w:tplc="431691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35">
    <w:multiLevelType w:val="hybridMultilevel"/>
    <w:lvl w:ilvl="0" w:tplc="56928013">
      <w:start w:val="1"/>
      <w:numFmt w:val="decimal"/>
      <w:lvlText w:val="%1."/>
      <w:lvlJc w:val="left"/>
      <w:pPr>
        <w:ind w:left="720" w:hanging="360"/>
      </w:pPr>
    </w:lvl>
    <w:lvl w:ilvl="1" w:tplc="56928013" w:tentative="1">
      <w:start w:val="1"/>
      <w:numFmt w:val="lowerLetter"/>
      <w:lvlText w:val="%2."/>
      <w:lvlJc w:val="left"/>
      <w:pPr>
        <w:ind w:left="1440" w:hanging="360"/>
      </w:pPr>
    </w:lvl>
    <w:lvl w:ilvl="2" w:tplc="56928013" w:tentative="1">
      <w:start w:val="1"/>
      <w:numFmt w:val="lowerRoman"/>
      <w:lvlText w:val="%3."/>
      <w:lvlJc w:val="right"/>
      <w:pPr>
        <w:ind w:left="2160" w:hanging="180"/>
      </w:pPr>
    </w:lvl>
    <w:lvl w:ilvl="3" w:tplc="56928013" w:tentative="1">
      <w:start w:val="1"/>
      <w:numFmt w:val="decimal"/>
      <w:lvlText w:val="%4."/>
      <w:lvlJc w:val="left"/>
      <w:pPr>
        <w:ind w:left="2880" w:hanging="360"/>
      </w:pPr>
    </w:lvl>
    <w:lvl w:ilvl="4" w:tplc="56928013" w:tentative="1">
      <w:start w:val="1"/>
      <w:numFmt w:val="lowerLetter"/>
      <w:lvlText w:val="%5."/>
      <w:lvlJc w:val="left"/>
      <w:pPr>
        <w:ind w:left="3600" w:hanging="360"/>
      </w:pPr>
    </w:lvl>
    <w:lvl w:ilvl="5" w:tplc="56928013" w:tentative="1">
      <w:start w:val="1"/>
      <w:numFmt w:val="lowerRoman"/>
      <w:lvlText w:val="%6."/>
      <w:lvlJc w:val="right"/>
      <w:pPr>
        <w:ind w:left="4320" w:hanging="180"/>
      </w:pPr>
    </w:lvl>
    <w:lvl w:ilvl="6" w:tplc="56928013" w:tentative="1">
      <w:start w:val="1"/>
      <w:numFmt w:val="decimal"/>
      <w:lvlText w:val="%7."/>
      <w:lvlJc w:val="left"/>
      <w:pPr>
        <w:ind w:left="5040" w:hanging="360"/>
      </w:pPr>
    </w:lvl>
    <w:lvl w:ilvl="7" w:tplc="56928013" w:tentative="1">
      <w:start w:val="1"/>
      <w:numFmt w:val="lowerLetter"/>
      <w:lvlText w:val="%8."/>
      <w:lvlJc w:val="left"/>
      <w:pPr>
        <w:ind w:left="5760" w:hanging="360"/>
      </w:pPr>
    </w:lvl>
    <w:lvl w:ilvl="8" w:tplc="5692801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34">
    <w:multiLevelType w:val="hybridMultilevel"/>
    <w:lvl w:ilvl="0" w:tplc="24201941">
      <w:start w:val="1"/>
      <w:numFmt w:val="decimal"/>
      <w:lvlText w:val="%1."/>
      <w:lvlJc w:val="left"/>
      <w:pPr>
        <w:ind w:left="720" w:hanging="360"/>
      </w:pPr>
    </w:lvl>
    <w:lvl w:ilvl="1" w:tplc="24201941" w:tentative="1">
      <w:start w:val="1"/>
      <w:numFmt w:val="lowerLetter"/>
      <w:lvlText w:val="%2."/>
      <w:lvlJc w:val="left"/>
      <w:pPr>
        <w:ind w:left="1440" w:hanging="360"/>
      </w:pPr>
    </w:lvl>
    <w:lvl w:ilvl="2" w:tplc="24201941" w:tentative="1">
      <w:start w:val="1"/>
      <w:numFmt w:val="lowerRoman"/>
      <w:lvlText w:val="%3."/>
      <w:lvlJc w:val="right"/>
      <w:pPr>
        <w:ind w:left="2160" w:hanging="180"/>
      </w:pPr>
    </w:lvl>
    <w:lvl w:ilvl="3" w:tplc="24201941" w:tentative="1">
      <w:start w:val="1"/>
      <w:numFmt w:val="decimal"/>
      <w:lvlText w:val="%4."/>
      <w:lvlJc w:val="left"/>
      <w:pPr>
        <w:ind w:left="2880" w:hanging="360"/>
      </w:pPr>
    </w:lvl>
    <w:lvl w:ilvl="4" w:tplc="24201941" w:tentative="1">
      <w:start w:val="1"/>
      <w:numFmt w:val="lowerLetter"/>
      <w:lvlText w:val="%5."/>
      <w:lvlJc w:val="left"/>
      <w:pPr>
        <w:ind w:left="3600" w:hanging="360"/>
      </w:pPr>
    </w:lvl>
    <w:lvl w:ilvl="5" w:tplc="24201941" w:tentative="1">
      <w:start w:val="1"/>
      <w:numFmt w:val="lowerRoman"/>
      <w:lvlText w:val="%6."/>
      <w:lvlJc w:val="right"/>
      <w:pPr>
        <w:ind w:left="4320" w:hanging="180"/>
      </w:pPr>
    </w:lvl>
    <w:lvl w:ilvl="6" w:tplc="24201941" w:tentative="1">
      <w:start w:val="1"/>
      <w:numFmt w:val="decimal"/>
      <w:lvlText w:val="%7."/>
      <w:lvlJc w:val="left"/>
      <w:pPr>
        <w:ind w:left="5040" w:hanging="360"/>
      </w:pPr>
    </w:lvl>
    <w:lvl w:ilvl="7" w:tplc="24201941" w:tentative="1">
      <w:start w:val="1"/>
      <w:numFmt w:val="lowerLetter"/>
      <w:lvlText w:val="%8."/>
      <w:lvlJc w:val="left"/>
      <w:pPr>
        <w:ind w:left="5760" w:hanging="360"/>
      </w:pPr>
    </w:lvl>
    <w:lvl w:ilvl="8" w:tplc="2420194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33">
    <w:multiLevelType w:val="hybridMultilevel"/>
    <w:lvl w:ilvl="0" w:tplc="2205701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13133">
    <w:abstractNumId w:val="13133"/>
  </w:num>
  <w:num w:numId="13134">
    <w:abstractNumId w:val="13134"/>
  </w:num>
  <w:num w:numId="13135">
    <w:abstractNumId w:val="13135"/>
  </w:num>
  <w:num w:numId="13136">
    <w:abstractNumId w:val="13136"/>
  </w:num>
  <w:num w:numId="13137">
    <w:abstractNumId w:val="13137"/>
  </w:num>
  <w:num w:numId="13138">
    <w:abstractNumId w:val="13138"/>
  </w:num>
  <w:num w:numId="13139">
    <w:abstractNumId w:val="131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287534203" Type="http://schemas.openxmlformats.org/officeDocument/2006/relationships/comments" Target="comments.xml"/><Relationship Id="rId871379783" Type="http://schemas.microsoft.com/office/2011/relationships/commentsExtended" Target="commentsExtended.xml"/><Relationship Id="rId96047734" Type="http://schemas.openxmlformats.org/officeDocument/2006/relationships/image" Target="media/imgrId96047734.jpg"/><Relationship Id="rId923968df1368b2c53" Type="http://schemas.openxmlformats.org/officeDocument/2006/relationships/hyperlink" Target="https://iservice.lombardini.it/jsp/Template2/manuale.jsp?id=71&amp;parent=962" TargetMode="External"/><Relationship Id="rId184268df1368b2e47" Type="http://schemas.openxmlformats.org/officeDocument/2006/relationships/hyperlink" Target="https://iservice.lombardini.it/jsp/Template2/manuale.jsp?id=70&amp;parent=962" TargetMode="External"/><Relationship Id="rId310668df1368bafae" Type="http://schemas.openxmlformats.org/officeDocument/2006/relationships/hyperlink" Target="https://iservice.lombardini.it/jsp/Template2/manuale.jsp?id=86&amp;parent=962" TargetMode="External"/><Relationship Id="rId419668df1368bb530" Type="http://schemas.openxmlformats.org/officeDocument/2006/relationships/hyperlink" Target="https://iservice.lombardini.it/jsp/Template2/manuale.jsp?id=89&amp;parent=962" TargetMode="External"/><Relationship Id="rId357168df1368cdee1" Type="http://schemas.openxmlformats.org/officeDocument/2006/relationships/hyperlink" Target="https://iservice.lombardini.it/jsp/Template2/manuale.jsp?id=60&amp;parent=962" TargetMode="External"/><Relationship Id="rId617168df1368d7db0" Type="http://schemas.openxmlformats.org/officeDocument/2006/relationships/hyperlink" Target="https://iservice.lombardini.it/jsp/Template2/manuale.jsp?id=56&amp;parent=962" TargetMode="External"/><Relationship Id="rId736668df1368d925a" Type="http://schemas.openxmlformats.org/officeDocument/2006/relationships/hyperlink" Target="https://iservice.lombardini.it/jsp/Template2/manuale.jsp?id=86&amp;parent=962" TargetMode="External"/><Relationship Id="rId524068df1368def81" Type="http://schemas.openxmlformats.org/officeDocument/2006/relationships/hyperlink" Target="https://iservice.lombardini.it/jsp/Template2/manuale.jsp?id=55&amp;parent=962" TargetMode="External"/><Relationship Id="rId963768df1368df4f2" Type="http://schemas.openxmlformats.org/officeDocument/2006/relationships/hyperlink" Target="https://iservice.lombardini.it/jsp/Template2/manuale.jsp?id=60&amp;parent=962" TargetMode="External"/><Relationship Id="rId910068df1368e034a" Type="http://schemas.openxmlformats.org/officeDocument/2006/relationships/hyperlink" Target="https://iservice.lombardini.it/jsp/Template2/manuale.jsp?id=53&amp;parent=962" TargetMode="External"/><Relationship Id="rId286568df1368e0535" Type="http://schemas.openxmlformats.org/officeDocument/2006/relationships/hyperlink" Target="https://iservice.lombardini.it/jsp/Template2/manuale.jsp?id=55&amp;parent=962" TargetMode="External"/><Relationship Id="rId624768df13690529f" Type="http://schemas.openxmlformats.org/officeDocument/2006/relationships/hyperlink" Target="https://www.youtube.com/embed/cVpoy_m253A?rel=0" TargetMode="External"/><Relationship Id="rId802568df136912f34" Type="http://schemas.openxmlformats.org/officeDocument/2006/relationships/hyperlink" Target="https://iservice.lombardini.it/jsp/Template2/manuale.jsp?id=60&amp;parent=962" TargetMode="External"/><Relationship Id="rId859468df13694806f" Type="http://schemas.openxmlformats.org/officeDocument/2006/relationships/hyperlink" Target="https://www.youtube.com/embed/S79xPhTZMps?rel=0" TargetMode="External"/><Relationship Id="rId495868df136948bc6" Type="http://schemas.openxmlformats.org/officeDocument/2006/relationships/hyperlink" Target="https://iservice.lombardini.it/jsp/Template4/manuale.jsp?id=2664&amp;parent=962" TargetMode="External"/><Relationship Id="rId780668df1368b16b2" Type="http://schemas.openxmlformats.org/officeDocument/2006/relationships/image" Target="media/imgrId780668df1368b16b2.jpg"/><Relationship Id="rId790868df1368ba786" Type="http://schemas.openxmlformats.org/officeDocument/2006/relationships/image" Target="media/imgrId790868df1368ba786.jpg"/><Relationship Id="rId713768df1368c4bff" Type="http://schemas.openxmlformats.org/officeDocument/2006/relationships/image" Target="media/imgrId713768df1368c4bff.jpg"/><Relationship Id="rId750668df1368cd70d" Type="http://schemas.openxmlformats.org/officeDocument/2006/relationships/image" Target="media/imgrId750668df1368cd70d.jpg"/><Relationship Id="rId244368df1368d7140" Type="http://schemas.openxmlformats.org/officeDocument/2006/relationships/image" Target="media/imgrId244368df1368d7140.jpg"/><Relationship Id="rId737068df1368de5cd" Type="http://schemas.openxmlformats.org/officeDocument/2006/relationships/image" Target="media/imgrId737068df1368de5cd.jpg"/><Relationship Id="rId149568df1368edb18" Type="http://schemas.openxmlformats.org/officeDocument/2006/relationships/image" Target="media/imgrId149568df1368edb18.jpg"/><Relationship Id="rId510768df136904d49" Type="http://schemas.openxmlformats.org/officeDocument/2006/relationships/image" Target="media/imgrId510768df136904d49.jpg"/><Relationship Id="rId980468df136912712" Type="http://schemas.openxmlformats.org/officeDocument/2006/relationships/image" Target="media/imgrId980468df136912712.jpg"/><Relationship Id="rId627768df13691a3d3" Type="http://schemas.openxmlformats.org/officeDocument/2006/relationships/image" Target="media/imgrId627768df13691a3d3.jpg"/><Relationship Id="rId693368df136921e87" Type="http://schemas.openxmlformats.org/officeDocument/2006/relationships/image" Target="media/imgrId693368df136921e87.jpg"/><Relationship Id="rId523568df13692d469" Type="http://schemas.openxmlformats.org/officeDocument/2006/relationships/image" Target="media/imgrId523568df13692d469.jpg"/><Relationship Id="rId783368df136939994" Type="http://schemas.openxmlformats.org/officeDocument/2006/relationships/image" Target="media/imgrId783368df136939994.jpg"/><Relationship Id="rId505668df136947898" Type="http://schemas.openxmlformats.org/officeDocument/2006/relationships/image" Target="media/imgrId505668df136947898.jpg"/><Relationship Id="rId258068df136956098" Type="http://schemas.openxmlformats.org/officeDocument/2006/relationships/image" Target="media/imgrId258068df136956098.png"/><Relationship Id="rId687368df13695d038" Type="http://schemas.openxmlformats.org/officeDocument/2006/relationships/image" Target="media/imgrId687368df13695d038.png"/><Relationship Id="rId670368df13697265a" Type="http://schemas.openxmlformats.org/officeDocument/2006/relationships/image" Target="media/imgrId670368df13697265a.png"/><Relationship Id="rId619768df13697994d" Type="http://schemas.openxmlformats.org/officeDocument/2006/relationships/image" Target="media/imgrId619768df13697994d.jpg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96047734" Type="http://schemas.openxmlformats.org/officeDocument/2006/relationships/image" Target="media/imgrId96047734.jp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96047734" Type="http://schemas.openxmlformats.org/officeDocument/2006/relationships/image" Target="media/imgrId96047734.jp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96047734" Type="http://schemas.openxmlformats.org/officeDocument/2006/relationships/image" Target="media/imgrId96047734.jp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96047734" Type="http://schemas.openxmlformats.org/officeDocument/2006/relationships/image" Target="media/imgrId96047734.jp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96047734" Type="http://schemas.openxmlformats.org/officeDocument/2006/relationships/image" Target="media/imgrId96047734.jp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96047734" Type="http://schemas.openxmlformats.org/officeDocument/2006/relationships/image" Target="media/imgrId96047734.jp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