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 / KDI 3404 TCR HT Owner Manual (REV. 11.3)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778081658"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7097954"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87402384" w:name="ctxt"/>
    <w:bookmarkEnd w:id="87402384"/>
    <w:p>
      <w:pPr>
        <w:widowControl w:val="on"/>
        <w:pBdr/>
        <w:spacing w:before="75" w:after="75" w:line="240" w:lineRule="auto"/>
        <w:ind w:left="75" w:right="75"/>
        <w:jc w:val="left"/>
        <w:textDirection w:val="lrTb"/>
      </w:pPr>
    </w:p>
    <w:p>
      <w:pPr>
        <w:pStyle w:val="Titolo1"/>
        <w:outlineLvl w:val="0"/>
      </w:pPr>
      <w:r>
        <w:rPr/>
        <w:t xml:space="preserve">Technical information</w:t>
      </w:r>
    </w:p>
    <w:p>
      <w:pPr>
        <w:widowControl w:val="on"/>
        <w:pBdr/>
        <w:spacing w:before="0" w:after="0" w:line="240" w:lineRule="auto"/>
        <w:ind w:left="0" w:right="0"/>
        <w:jc w:val="left"/>
        <w:textDirection w:val="lrTb"/>
      </w:pPr>
    </w:p>
    <w:p>
      <w:pPr>
        <w:pStyle w:val="Titolo2"/>
        <w:outlineLvl w:val="1"/>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specifications</w:t>
      </w:r>
    </w:p>
    <w:p>
      <w:pPr>
        <w:widowControl w:val="on"/>
        <w:pBdr/>
        <w:spacing w:before="0" w:after="0" w:line="262" w:lineRule="auto"/>
        <w:ind w:left="0" w:right="0"/>
        <w:jc w:val="left"/>
        <w:textDirection w:val="lrTb"/>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TECHNICAL DATA</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UNIT OF MEASURE</w:t>
            </w:r>
          </w:p>
        </w:tc>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r>
              <w:rPr>
                <w:position w:val="-61"/>
              </w:rPr>
              <w:drawing>
                <wp:inline distT="0" distB="0" distL="0" distR="0">
                  <wp:extent cx="1281600" cy="842400"/>
                  <wp:effectExtent b="0" l="0" r="0" t="0"/>
                  <wp:docPr id="35630152" name="name97846101928680edd" descr="Figura_dati_tecn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_dati_tecnici.jpg"/>
                          <pic:cNvPicPr/>
                        </pic:nvPicPr>
                        <pic:blipFill>
                          <a:blip r:embed="rId39806101928680ed9" cstate="print"/>
                          <a:stretch>
                            <a:fillRect/>
                          </a:stretch>
                        </pic:blipFill>
                        <pic:spPr>
                          <a:xfrm>
                            <a:off x="0" y="0"/>
                            <a:ext cx="128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MAX INCLINATION DURING OPERATION (even in combined)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28217033" w:name="result_box"/>
          <w:bookmarkEnd w:id="28217033"/>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bookmarkStart w:id="13955108" w:name="result_box"/>
          <w:bookmarkEnd w:id="13955108"/>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b/>
                <w:bCs/>
                <w:color w:val="00274C"/>
                <w:position w:val="-2"/>
                <w:sz w:val="20"/>
                <w:szCs w:val="20"/>
                <w:u w:val="none"/>
                <w:shd w:val="clear" w:color="auto" w:fill="E1E2E0"/>
              </w:rPr>
              <w:t xml:space="preserve">OIL CAPACITY (MAX level.) including oil filter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Engine dimensions (mm)</w:t>
      </w:r>
    </w:p>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Dimensions vary according to engine configuration.</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225" w:after="225" w:line="262" w:lineRule="auto"/>
        <w:ind w:left="0" w:right="0"/>
        <w:jc w:val="left"/>
        <w:textDirection w:val="lrTb"/>
      </w:pPr>
      <w:r>
        <w:drawing>
          <wp:inline distT="0" distB="0" distL="0" distR="0">
            <wp:extent cx="5544000" cy="3304800"/>
            <wp:effectExtent b="0" l="0" r="0" t="0"/>
            <wp:docPr id="28825060" name="name216361019286a4def" descr="Ingom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mbri.jpg"/>
                    <pic:cNvPicPr/>
                  </pic:nvPicPr>
                  <pic:blipFill>
                    <a:blip r:embed="rId456561019286a4de3" cstate="print"/>
                    <a:stretch>
                      <a:fillRect/>
                    </a:stretch>
                  </pic:blipFill>
                  <pic:spPr>
                    <a:xfrm>
                      <a:off x="0" y="0"/>
                      <a:ext cx="5544000" cy="3304800"/>
                    </a:xfrm>
                    <a:prstGeom prst="rect">
                      <a:avLst/>
                    </a:prstGeom>
                    <a:ln w="0">
                      <a:noFill/>
                    </a:ln>
                  </pic:spPr>
                </pic:pic>
              </a:graphicData>
            </a:graphic>
          </wp:inline>
        </w:drawing>
      </w:r>
    </w:p>
    <w:p>
      <w:pPr>
        <w:widowControl w:val="on"/>
        <w:pBdr/>
        <w:spacing w:before="0" w:after="0" w:line="262" w:lineRule="auto"/>
        <w:ind w:left="0" w:right="0"/>
        <w:jc w:val="left"/>
        <w:textDirection w:val="lrTb"/>
      </w:pPr>
      <w:r>
        <w:rPr>
          <w:b/>
          <w:bCs/>
          <w:color w:val="00274C"/>
          <w:sz w:val="20"/>
          <w:szCs w:val="20"/>
          <w:u w:val="none"/>
        </w:rPr>
        <w:t xml:space="preserve">Fig. 2.1 - Fig. 2.2</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Oil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5928916" name="name251661019286b544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846961019286b544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Pr>
        <w:numPr>
          <w:ilvl w:val="0"/>
          <w:numId w:val="30621"/>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30621"/>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30621"/>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30621"/>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30621"/>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9114839" name="name605961019286c2e4c"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338561019286c2e47"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0621"/>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30621"/>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30621"/>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br/>
        <w:br/>
        <w:t xml:space="preserve">2.4.1 SAE oil classification</w:t>
      </w:r>
    </w:p>
    <w:p>
      <w:pPr>
        <w:numPr>
          <w:ilvl w:val="0"/>
          <w:numId w:val="30621"/>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30621"/>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RECCOMENDED OIL</w:t>
            </w:r>
          </w:p>
        </w:tc>
      </w:tr>
      <w:tr>
        <w:trPr>
          <w:trHeight w:val="0" w:hRule="atLeast"/>
        </w:trPr>
        <w:tc>
          <w:tcPr>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hd w:val="clear" w:color="auto" w:fill="1985FF"/>
              <w:spacing w:before="0" w:after="0" w:line="262" w:lineRule="auto"/>
              <w:ind w:left="0" w:right="0"/>
              <w:jc w:val="center"/>
              <w:textDirection w:val="lrTb"/>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CK-4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ACEA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E6 Low S.A.P.S.</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E4</w:t>
            </w:r>
          </w:p>
        </w:tc>
      </w:tr>
      <w:tr>
        <w:trPr>
          <w:trHeight w:val="0" w:hRule="atLeast"/>
        </w:trPr>
        <w:tc>
          <w:tcPr>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b/>
                <w:bCs/>
                <w:color w:val="00274C"/>
                <w:position w:val="-2"/>
                <w:sz w:val="20"/>
                <w:szCs w:val="20"/>
                <w:u w:val="none"/>
                <w:shd w:val="clear" w:color="auto" w:fill="E1E2E0"/>
              </w:rPr>
              <w:t xml:space="preserve">SAE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10w-40 (-25°C ÷ +50°C)</w:t>
            </w:r>
          </w:p>
        </w:tc>
      </w:tr>
    </w:tbl>
    <w:p>
      <w:pPr>
        <w:numPr>
          <w:ilvl w:val="0"/>
          <w:numId w:val="30621"/>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30621"/>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30621"/>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4979580" name="name188361019286d352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317361019286d352a"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0621"/>
        </w:numPr>
        <w:spacing w:before="0" w:after="0" w:line="240" w:lineRule="auto"/>
        <w:jc w:val="left"/>
        <w:rPr>
          <w:color w:val="00274C"/>
          <w:sz w:val="20"/>
          <w:szCs w:val="20"/>
        </w:rPr>
      </w:pPr>
      <w:r>
        <w:rPr>
          <w:color w:val="00274C"/>
          <w:sz w:val="20"/>
          <w:szCs w:val="20"/>
          <w:u w:val="none"/>
        </w:rPr>
        <w:t xml:space="preserve">Use of other types of fuel could damage the engine. Do not use dirty diesel fuel or mixtures of diesel fuel and water since this will cause serious engine faults.</w:t>
      </w:r>
    </w:p>
    <w:p>
      <w:pPr>
        <w:numPr>
          <w:ilvl w:val="0"/>
          <w:numId w:val="30621"/>
        </w:numPr>
        <w:spacing w:before="0" w:after="0" w:line="240" w:lineRule="auto"/>
        <w:jc w:val="left"/>
        <w:rPr>
          <w:color w:val="00274C"/>
          <w:sz w:val="20"/>
          <w:szCs w:val="20"/>
        </w:rPr>
      </w:pPr>
      <w:r>
        <w:rPr>
          <w:b/>
          <w:bCs/>
          <w:color w:val="00274C"/>
          <w:sz w:val="20"/>
          <w:szCs w:val="20"/>
          <w:u w:val="none"/>
        </w:rPr>
        <w:t xml:space="preserve">Any failures resulting from the use of fuels other than recommended will not be warranted.</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79431559" name="name431261019286e2c4b"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374861019286e2c46"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Warning</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color w:val="00274C"/>
          <w:sz w:val="20"/>
          <w:szCs w:val="20"/>
          <w:u w:val="none"/>
        </w:rPr>
        <w:t xml:space="preserve"> </w:t>
      </w:r>
    </w:p>
    <w:p/>
    <w:p>
      <w:pPr>
        <w:numPr>
          <w:ilvl w:val="0"/>
          <w:numId w:val="30621"/>
        </w:numPr>
        <w:spacing w:before="0" w:after="0" w:line="240" w:lineRule="auto"/>
        <w:jc w:val="left"/>
        <w:rPr>
          <w:color w:val="00274C"/>
          <w:sz w:val="20"/>
          <w:szCs w:val="20"/>
        </w:rPr>
      </w:pPr>
      <w:r>
        <w:rPr>
          <w:color w:val="00274C"/>
          <w:sz w:val="20"/>
          <w:szCs w:val="20"/>
          <w:u w:val="none"/>
        </w:rPr>
        <w:t xml:space="preserve">Clean fuel prevents the fuel injectors from clogging. Immediately clean up any spillage during refuelling.</w:t>
      </w:r>
    </w:p>
    <w:p>
      <w:pPr>
        <w:numPr>
          <w:ilvl w:val="0"/>
          <w:numId w:val="30621"/>
        </w:numPr>
        <w:spacing w:before="0" w:after="0" w:line="240" w:lineRule="auto"/>
        <w:jc w:val="left"/>
        <w:rPr>
          <w:color w:val="00274C"/>
          <w:sz w:val="20"/>
          <w:szCs w:val="20"/>
        </w:rPr>
      </w:pPr>
      <w:r>
        <w:rPr>
          <w:color w:val="00274C"/>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p>
      <w:pPr>
        <w:widowControl w:val="on"/>
        <w:pBdr/>
        <w:spacing w:before="0" w:after="0" w:line="262" w:lineRule="auto"/>
        <w:ind w:left="0" w:right="0"/>
        <w:jc w:val="right"/>
        <w:textDirection w:val="lrTb"/>
      </w:pPr>
      <w:r>
        <w:rPr>
          <w:b/>
          <w:bCs/>
          <w:color w:val="00274C"/>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JIS K 2204 No. 1, No. 2</w:t>
            </w:r>
          </w:p>
        </w:tc>
      </w:tr>
    </w:tbl>
    <w:p>
      <w:pPr>
        <w:widowControl w:val="on"/>
        <w:pBdr/>
        <w:spacing w:before="0" w:after="0" w:line="262" w:lineRule="auto"/>
        <w:ind w:left="0" w:right="0"/>
        <w:jc w:val="left"/>
        <w:textDirection w:val="lrTb"/>
      </w:pPr>
      <w:r>
        <w:rPr>
          <w:b/>
          <w:bCs/>
          <w:color w:val="00274C"/>
          <w:sz w:val="20"/>
          <w:szCs w:val="20"/>
          <w:u w:val="none"/>
        </w:rPr>
        <w:t xml:space="preserve">NOTE</w:t>
      </w:r>
      <w:r>
        <w:rPr>
          <w:color w:val="00274C"/>
          <w:sz w:val="20"/>
          <w:szCs w:val="20"/>
          <w:u w:val="none"/>
        </w:rPr>
        <w:t xml:space="preserve"> : In a warranty case the customer must prove by a certificate from the fuel supplier that an allowed fuel was used.</w:t>
      </w:r>
    </w:p>
    <w:p>
      <w:pPr>
        <w:widowControl w:val="on"/>
        <w:pBdr/>
        <w:spacing w:before="0" w:after="0" w:line="262" w:lineRule="auto"/>
        <w:ind w:left="0" w:right="0"/>
        <w:jc w:val="left"/>
        <w:textDirection w:val="lrTb"/>
      </w:pPr>
      <w:r>
        <w:rPr>
          <w:b/>
          <w:bCs/>
          <w:i/>
          <w:iCs/>
          <w:color w:val="00274C"/>
          <w:sz w:val="20"/>
          <w:szCs w:val="20"/>
          <w:u w:val="none"/>
        </w:rPr>
        <w:br/>
        <w:t xml:space="preserve">KDI Electronic Injection Tier 4 final – Stage IIIB – Stage IV- Stage V certified Engines</w:t>
      </w:r>
    </w:p>
    <w:p>
      <w:pPr>
        <w:numPr>
          <w:ilvl w:val="0"/>
          <w:numId w:val="30621"/>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r>
        <w:rPr>
          <w:color w:val="00274C"/>
          <w:sz w:val="20"/>
          <w:szCs w:val="20"/>
          <w:u w:val="none"/>
        </w:rPr>
        <w:b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i/>
          <w:iCs/>
          <w:color w:val="00274C"/>
          <w:sz w:val="20"/>
          <w:szCs w:val="20"/>
          <w:u w:val="none"/>
        </w:rPr>
        <w:t xml:space="preserve">KDI Electronic Injection Tier 3 – Stage IIIA emission equivalent certified Engines (EGR engines)</w:t>
      </w:r>
    </w:p>
    <w:p>
      <w:pPr>
        <w:numPr>
          <w:ilvl w:val="0"/>
          <w:numId w:val="30621"/>
        </w:numPr>
        <w:spacing w:before="0" w:after="0" w:line="240" w:lineRule="auto"/>
        <w:jc w:val="left"/>
        <w:rPr>
          <w:color w:val="00274C"/>
          <w:sz w:val="20"/>
          <w:szCs w:val="20"/>
        </w:rPr>
      </w:pPr>
      <w:r>
        <w:rPr>
          <w:color w:val="00274C"/>
          <w:sz w:val="20"/>
          <w:szCs w:val="20"/>
          <w:u w:val="none"/>
        </w:rPr>
        <w:t xml:space="preserve">Those engines are designed for fuels in accordance with EN 590 and ASTM D975 for a cetane number of at least 45. Since those engines are not equipped with exhaust gas after-treatment, they can be operated with diesel fuels with sulfur content up to 500 mg/kg (ppm). Compliance with the emission requirements is guaranteed only with sulfur content up to 350 mg/kg (ppm).</w:t>
      </w:r>
      <w:r>
        <w:rPr>
          <w:color w:val="00274C"/>
          <w:sz w:val="20"/>
          <w:szCs w:val="20"/>
          <w:u w:val="none"/>
        </w:rPr>
        <w:br/>
        <w:t xml:space="preserve">Fuels with a sulfur content &gt; 50 mg/kg demand a shorter lubricating oil change interval. This is set at 250hrs. However, the engine oil must be changed when the Total Base Number TBN is reduced to 6.0 mgKOH/g test method ASTM D4739. Do not use low SAPS engine oils.</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2.5.1</w:t>
      </w:r>
      <w:r>
        <w:rPr>
          <w:color w:val="00274C"/>
          <w:sz w:val="20"/>
          <w:szCs w:val="20"/>
          <w:u w:val="none"/>
        </w:rPr>
        <w:t xml:space="preserve"> </w:t>
      </w:r>
      <w:r>
        <w:rPr>
          <w:b/>
          <w:bCs/>
          <w:color w:val="00274C"/>
          <w:sz w:val="20"/>
          <w:szCs w:val="20"/>
          <w:u w:val="none"/>
        </w:rPr>
        <w:t xml:space="preserve">Fuel for low temperatures</w:t>
      </w:r>
    </w:p>
    <w:p>
      <w:pPr>
        <w:numPr>
          <w:ilvl w:val="0"/>
          <w:numId w:val="30621"/>
        </w:numPr>
        <w:spacing w:before="0" w:after="0" w:line="240" w:lineRule="auto"/>
        <w:jc w:val="left"/>
        <w:rPr>
          <w:color w:val="00274C"/>
          <w:sz w:val="20"/>
          <w:szCs w:val="20"/>
        </w:rPr>
      </w:pPr>
      <w:r>
        <w:rPr>
          <w:color w:val="00274C"/>
          <w:sz w:val="20"/>
          <w:szCs w:val="20"/>
          <w:u w:val="none"/>
        </w:rPr>
        <w:br/>
        <w:t xml:space="preserve">When operating the engine in ambient temperatures lower than 0 degrees C, use suitable low temperature fuel normally available from fuel distributors and corresponding to the specifications of </w:t>
      </w:r>
      <w:r>
        <w:rPr>
          <w:b/>
          <w:bCs/>
          <w:color w:val="00274C"/>
          <w:sz w:val="20"/>
          <w:szCs w:val="20"/>
          <w:u w:val="none"/>
        </w:rPr>
        <w:t xml:space="preserve">Tab. 2.3</w:t>
      </w:r>
      <w:r>
        <w:rPr>
          <w:color w:val="00274C"/>
          <w:sz w:val="20"/>
          <w:szCs w:val="20"/>
          <w:u w:val="none"/>
        </w:rPr>
        <w:t xml:space="preserve"> .</w:t>
      </w:r>
    </w:p>
    <w:p>
      <w:pPr>
        <w:numPr>
          <w:ilvl w:val="0"/>
          <w:numId w:val="30621"/>
        </w:numPr>
        <w:spacing w:before="0" w:after="0" w:line="240" w:lineRule="auto"/>
        <w:jc w:val="left"/>
        <w:rPr>
          <w:color w:val="00274C"/>
          <w:sz w:val="20"/>
          <w:szCs w:val="20"/>
        </w:rPr>
      </w:pPr>
      <w:r>
        <w:rPr>
          <w:color w:val="00274C"/>
          <w:sz w:val="20"/>
          <w:szCs w:val="20"/>
          <w:u w:val="none"/>
        </w:rPr>
        <w:t xml:space="preserve">These fuels reduce the formation of paraffin in diesel at low temperatures.</w:t>
      </w:r>
    </w:p>
    <w:p>
      <w:pPr>
        <w:numPr>
          <w:ilvl w:val="0"/>
          <w:numId w:val="30621"/>
        </w:numPr>
        <w:spacing w:before="0" w:after="0" w:line="240" w:lineRule="auto"/>
        <w:jc w:val="left"/>
        <w:rPr>
          <w:color w:val="00274C"/>
          <w:sz w:val="20"/>
          <w:szCs w:val="20"/>
        </w:rPr>
      </w:pPr>
      <w:r>
        <w:rPr>
          <w:color w:val="00274C"/>
          <w:sz w:val="20"/>
          <w:szCs w:val="20"/>
          <w:u w:val="none"/>
        </w:rPr>
        <w:t xml:space="preserve">When paraffin forms in the diesel, the fuel filter becomes blocked interrupting the flow of fuel.</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2.5.2</w:t>
      </w:r>
      <w:r>
        <w:rPr>
          <w:b/>
          <w:bCs/>
          <w:color w:val="00274C"/>
          <w:sz w:val="20"/>
          <w:szCs w:val="20"/>
          <w:u w:val="none"/>
        </w:rPr>
        <w:t xml:space="preserve"> Biodiesel fuel</w:t>
      </w:r>
    </w:p>
    <w:p>
      <w:pPr>
        <w:numPr>
          <w:ilvl w:val="0"/>
          <w:numId w:val="30621"/>
        </w:numPr>
        <w:spacing w:before="0" w:after="0" w:line="240" w:lineRule="auto"/>
        <w:jc w:val="left"/>
        <w:rPr>
          <w:color w:val="00274C"/>
          <w:sz w:val="20"/>
          <w:szCs w:val="20"/>
        </w:rPr>
      </w:pPr>
      <w:r>
        <w:rPr>
          <w:color w:val="00274C"/>
          <w:sz w:val="20"/>
          <w:szCs w:val="20"/>
          <w:u w:val="none"/>
        </w:rPr>
        <w:t xml:space="preserve">Fuels containing 10% methyl ester or B10, are suitable for use in this engine provided that they meet the specifications listed in the Tab. 2.3.</w:t>
      </w:r>
    </w:p>
    <w:p>
      <w:pPr>
        <w:numPr>
          <w:ilvl w:val="0"/>
          <w:numId w:val="30621"/>
        </w:numPr>
        <w:spacing w:before="0" w:after="0" w:line="240" w:lineRule="auto"/>
        <w:jc w:val="left"/>
        <w:rPr>
          <w:color w:val="00274C"/>
          <w:sz w:val="20"/>
          <w:szCs w:val="20"/>
        </w:rPr>
      </w:pPr>
      <w:r>
        <w:rPr>
          <w:b/>
          <w:bCs/>
          <w:color w:val="00274C"/>
          <w:sz w:val="20"/>
          <w:szCs w:val="20"/>
          <w:u w:val="none"/>
        </w:rPr>
        <w:t xml:space="preserve">DO NOT USE</w:t>
      </w:r>
      <w:r>
        <w:rPr>
          <w:color w:val="00274C"/>
          <w:sz w:val="20"/>
          <w:szCs w:val="20"/>
          <w:u w:val="none"/>
        </w:rPr>
        <w:t xml:space="preserve"> vegetable oil as a biofuel for this engine.</w:t>
      </w:r>
    </w:p>
    <w:p>
      <w:pPr>
        <w:widowControl w:val="on"/>
        <w:pBdr/>
        <w:spacing w:before="0" w:after="0" w:line="262" w:lineRule="auto"/>
        <w:ind w:left="0" w:right="0"/>
        <w:jc w:val="right"/>
        <w:textDirection w:val="lrTb"/>
      </w:pPr>
      <w:r>
        <w:rPr>
          <w:b/>
          <w:bCs/>
          <w:color w:val="00274C"/>
          <w:sz w:val="20"/>
          <w:szCs w:val="20"/>
          <w:u w:val="none"/>
        </w:rPr>
        <w:t xml:space="preserve">2.4</w:t>
      </w:r>
    </w:p>
    <w:tbl>
      <w:tblPr>
        <w:tblStyle w:val="NormalTablePHPDOCX"/>
        <w:tblCellMar>
          <w:left w:type="dxa" w:w="0"/>
          <w:right w:type="dxa" w:w="0"/>
        </w:tblCellMar>
        <w:tblW w:w="5000" w:type="pct"/>
        <w:tblInd w:w="0" w:type="auto"/>
        <w:tblBorders/>
      </w:tblPr>
      <w:tblGrid>
        <w:gridCol w:w="1"/>
        <w:gridCol w:w="1"/>
        <w:gridCol w:w="1"/>
        <w:gridCol w:w="1"/>
        <w:gridCol w:w="1"/>
        <w:gridCol w:w="1"/>
        <w:gridCol w:w="1"/>
        <w:gridCol w:w="1"/>
        <w:gridCol w:w="1"/>
      </w:tblGrid>
      <w:tr>
        <w:trPr>
          <w:trHeight w:val="0" w:hRule="atLeast"/>
        </w:trPr>
        <w:tc>
          <w:tcPr>
            <w:gridSpan w:val="9"/>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BIODIESEL COMPATIBILITY</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gridSpan w:val="9"/>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2.5.3</w:t>
      </w:r>
      <w:r>
        <w:rPr>
          <w:b/>
          <w:bCs/>
          <w:color w:val="00274C"/>
          <w:sz w:val="20"/>
          <w:szCs w:val="20"/>
          <w:u w:val="none"/>
        </w:rPr>
        <w:t xml:space="preserve"> Synthetic fuels: GTL, CTL, BTL, HV</w:t>
      </w:r>
      <w:r>
        <w:rPr>
          <w:color w:val="00274C"/>
          <w:sz w:val="20"/>
          <w:szCs w:val="20"/>
          <w:u w:val="none"/>
        </w:rPr>
        <w:br/>
        <w:t xml:space="preserve"> 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r>
        <w:rPr>
          <w:color w:val="00274C"/>
          <w:sz w:val="20"/>
          <w:szCs w:val="20"/>
          <w:u w:val="none"/>
        </w:rPr>
        <w:br/>
        <w:t xml:space="preserve">Therefore, conversion from diesel fuel to synthetic fuel may only be done after changing the critical seals. The problem of shrinkage does not occur when an engine was operated with synthetic fuel from the start. </w:t>
      </w:r>
    </w:p>
    <w:p>
      <w:pPr>
        <w:widowControl w:val="on"/>
        <w:pBdr/>
        <w:spacing w:before="0" w:after="0" w:line="262" w:lineRule="auto"/>
        <w:ind w:left="0" w:right="0"/>
        <w:jc w:val="left"/>
        <w:textDirection w:val="lrTb"/>
      </w:pPr>
      <w:r>
        <w:rPr>
          <w:color w:val="00274C"/>
          <w:sz w:val="20"/>
          <w:szCs w:val="20"/>
          <w:u w:val="none"/>
        </w:rPr>
        <w:br/>
        <w:t xml:space="preserve"> </w:t>
      </w:r>
    </w:p>
    <w:p>
      <w:pPr>
        <w:widowControl w:val="on"/>
        <w:pBdr/>
        <w:spacing w:before="0" w:after="0" w:line="262" w:lineRule="auto"/>
        <w:ind w:left="0" w:right="0"/>
        <w:jc w:val="left"/>
        <w:textDirection w:val="lrTb"/>
      </w:pPr>
      <w:r>
        <w:rPr>
          <w:b/>
          <w:bCs/>
          <w:color w:val="00274C"/>
          <w:sz w:val="20"/>
          <w:szCs w:val="20"/>
          <w:u w:val="none"/>
        </w:rPr>
        <w:t xml:space="preserve">2.5.4</w:t>
      </w:r>
      <w:r>
        <w:rPr>
          <w:b/>
          <w:bCs/>
          <w:color w:val="00274C"/>
          <w:sz w:val="20"/>
          <w:szCs w:val="20"/>
          <w:u w:val="none"/>
        </w:rPr>
        <w:t xml:space="preserve"> Non-Road Fuels</w:t>
      </w:r>
    </w:p>
    <w:p>
      <w:pPr>
        <w:widowControl w:val="on"/>
        <w:pBdr/>
        <w:spacing w:before="0" w:after="0" w:line="262" w:lineRule="auto"/>
        <w:ind w:left="0" w:right="0"/>
        <w:jc w:val="left"/>
        <w:textDirection w:val="lrTb"/>
      </w:pPr>
      <w:r>
        <w:rPr>
          <w:i/>
          <w:iCs/>
          <w:color w:val="00274C"/>
          <w:sz w:val="20"/>
          <w:szCs w:val="20"/>
          <w:u w:val="none"/>
        </w:rPr>
        <w:br/>
        <w:t xml:space="preserve">Only for KDI Electronic Injection Tier 3 – Stage IIIA emission equivalent certified Engines (EGR engines).</w:t>
      </w:r>
    </w:p>
    <w:p>
      <w:pPr>
        <w:widowControl w:val="on"/>
        <w:pBdr/>
        <w:spacing w:before="0" w:after="0" w:line="262" w:lineRule="auto"/>
        <w:ind w:left="0" w:right="0"/>
        <w:jc w:val="left"/>
        <w:textDirection w:val="lrTb"/>
      </w:pPr>
      <w:r>
        <w:rPr>
          <w:color w:val="00274C"/>
          <w:sz w:val="20"/>
          <w:szCs w:val="20"/>
          <w:u w:val="none"/>
        </w:rPr>
        <w:br/>
        <w:t xml:space="preserve">Other non-road fuels may be used if they comply with all the limit values of EN 590 except for the fuel density, the cetane number and the sulfur content.</w:t>
      </w:r>
      <w:r>
        <w:rPr>
          <w:color w:val="00274C"/>
          <w:sz w:val="20"/>
          <w:szCs w:val="20"/>
          <w:u w:val="none"/>
        </w:rPr>
        <w:br/>
        <w:t xml:space="preserve">The following limits apply for these parameters:</w:t>
      </w:r>
    </w:p>
    <w:p>
      <w:pPr>
        <w:widowControl w:val="on"/>
        <w:pBdr/>
        <w:spacing w:before="0" w:after="0" w:line="262" w:lineRule="auto"/>
        <w:ind w:left="0" w:right="0"/>
        <w:jc w:val="right"/>
        <w:textDirection w:val="lrTb"/>
      </w:pPr>
      <w:r>
        <w:rPr>
          <w:b/>
          <w:bCs/>
          <w:color w:val="00274C"/>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hd w:val="clear" w:color="auto" w:fill="00274C"/>
              <w:spacing w:before="0" w:after="0" w:line="262" w:lineRule="auto"/>
              <w:ind w:left="0" w:right="0"/>
              <w:jc w:val="center"/>
              <w:textDirection w:val="lrTb"/>
              <w:textAlignment w:val="center"/>
            </w:pPr>
            <w:r>
              <w:rPr>
                <w:b/>
                <w:bCs/>
                <w:color w:val="FFFFFF"/>
                <w:position w:val="-2"/>
                <w:sz w:val="20"/>
                <w:szCs w:val="20"/>
                <w:u w:val="none"/>
                <w:shd w:val="clear" w:color="auto" w:fill="00274C"/>
              </w:rPr>
              <w:t xml:space="preserve">FUEL PARAMETER</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LIMIT VALUE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Cetane number</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Min. 49</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density at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 </w:t>
            </w:r>
            <w:r>
              <w:rPr>
                <w:color w:val="00274C"/>
                <w:position w:val="3"/>
                <w:sz w:val="17"/>
                <w:szCs w:val="17"/>
                <w:u w:val="none"/>
                <w:shd w:val="clear" w:color="auto" w:fill="E1E2E0"/>
                <w:vertAlign w:val="superscript"/>
                <w:vertAlign w:val="superscript"/>
              </w:rPr>
              <w:t xml:space="preserve">3</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820 - 860</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Sulfur content</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 or ppm</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max. 500</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2.5.5 Emission-Related Installation Instructions</w:t>
      </w:r>
      <w:r>
        <w:rPr>
          <w:color w:val="00274C"/>
          <w:sz w:val="20"/>
          <w:szCs w:val="20"/>
          <w:u w:val="none"/>
        </w:rPr>
        <w:t xml:space="preserve"> 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OEM must apply a separate label with the following statement: “ULTRA LOW SULFUR FUEL ONLY” near the fuel inlet.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Ensure you are installing an engine appropriately certified for your application. Constant speed engines may only be installed on constant speed equipment for constant speed operation.
</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If you install the engine in a way that makes the engine's emission control information label hard to read during normal engine maintenance, you must place a duplicate label on the equipment, as described in 40 CFR 1068.105.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Direction w:val="lrTb"/>
              <w:textAlignment w:val="center"/>
            </w:pPr>
            <w:r>
              <w:rPr>
                <w:color w:val="00274C"/>
                <w:position w:val="-2"/>
                <w:sz w:val="20"/>
                <w:szCs w:val="20"/>
                <w:u w:val="none"/>
              </w:rPr>
              <w:t xml:space="preserve"> </w:t>
            </w:r>
          </w:p>
          <w:p>
            <w:pPr>
              <w:numPr>
                <w:ilvl w:val="0"/>
                <w:numId w:val="30621"/>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30621"/>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Direction w:val="lrTb"/>
              <w:textAlignment w:val="center"/>
            </w:pPr>
            <w:r>
              <w:rPr>
                <w:position w:val="-20"/>
              </w:rPr>
              <w:drawing>
                <wp:inline distT="0" distB="0" distL="0" distR="0">
                  <wp:extent cx="324000" cy="324000"/>
                  <wp:effectExtent b="0" l="0" r="0" t="0"/>
                  <wp:docPr id="62311482" name="name3107610192870392a"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930610192870392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Important</w:t>
            </w:r>
          </w:p>
          <w:p>
            <w:pPr>
              <w:numPr>
                <w:ilvl w:val="0"/>
                <w:numId w:val="30621"/>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30621"/>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Direction w:val="lrTb"/>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Battery recommendation</w:t>
      </w:r>
    </w:p>
    <w:p>
      <w:pPr>
        <w:widowControl w:val="on"/>
        <w:pBdr/>
        <w:spacing w:before="0" w:after="0" w:line="262" w:lineRule="auto"/>
        <w:ind w:left="0" w:right="0"/>
        <w:jc w:val="left"/>
        <w:textDirection w:val="lrTb"/>
      </w:pPr>
      <w:r>
        <w:rPr>
          <w:b/>
          <w:bCs/>
          <w:color w:val="00274C"/>
          <w:sz w:val="20"/>
          <w:szCs w:val="20"/>
          <w:u w:val="none"/>
        </w:rPr>
        <w:t xml:space="preserve">Battery not supplied by Kohler</w:t>
      </w:r>
    </w:p>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62" w:lineRule="auto"/>
        <w:ind w:left="0" w:right="0"/>
        <w:jc w:val="left"/>
        <w:textDirection w:val="lrTb"/>
      </w:pPr>
      <w:r>
        <w:rPr>
          <w:b/>
          <w:bCs/>
          <w:color w:val="00274C"/>
          <w:sz w:val="20"/>
          <w:szCs w:val="20"/>
          <w:u w:val="none"/>
        </w:rPr>
        <w:t xml:space="preserve">Tab. 2.6</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 - 15°C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120 Ah/20 h - 1000 CCA/SAE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center"/>
              <w:textDirection w:val="lrTb"/>
              <w:textAlignment w:val="center"/>
            </w:pPr>
            <w:r>
              <w:rPr>
                <w:color w:val="00274C"/>
                <w:position w:val="-2"/>
                <w:sz w:val="20"/>
                <w:szCs w:val="20"/>
                <w:u w:val="none"/>
                <w:shd w:val="clear" w:color="auto" w:fill="E1E2E0"/>
              </w:rPr>
              <w:t xml:space="preserve">&lt; -15°C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130 Ah/20 h - 1100 CCA/SAE</w:t>
            </w:r>
          </w:p>
        </w:tc>
      </w:tr>
    </w:tbl>
    <w:p>
      <w:pPr>
        <w:widowControl w:val="on"/>
        <w:pBdr/>
        <w:spacing w:before="0" w:after="0" w:line="262" w:lineRule="auto"/>
        <w:ind w:left="0" w:right="0"/>
        <w:jc w:val="left"/>
        <w:textDirection w:val="lrTb"/>
      </w:pPr>
      <w:r>
        <w:rPr>
          <w:color w:val="00274C"/>
          <w:sz w:val="20"/>
          <w:szCs w:val="20"/>
          <w:u w:val="none"/>
        </w:rPr>
        <w:t xml:space="preserve"> </w:t>
      </w:r>
    </w:p>
    <w:p>
      <w:pPr>
        <w:widowControl w:val="on"/>
        <w:pBdr/>
        <w:spacing w:before="0" w:after="0" w:line="240" w:lineRule="auto"/>
        <w:ind w:left="0" w:right="0"/>
        <w:jc w:val="left"/>
        <w:textDirection w:val="lrTb"/>
      </w:pPr>
    </w:p>
    <w:p>
      <w:pPr>
        <w:spacing w:before="0" w:after="0" w:line="240" w:lineRule="auto"/>
        <w:ind w:left="0" w:right="0"/>
      </w:pPr>
      <w:r>
        <w:br w:type="page"/>
      </w:r>
    </w:p>
    <w:p>
      <w:pPr>
        <w:pStyle w:val="Titolo2"/>
        <w:outlineLvl w:val="1"/>
      </w:pPr>
      <w:r>
        <w:rPr/>
        <w:t xml:space="preserve">Control panel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Mar>
              <w:top w:w="150" w:type="dxa"/>
              <w:left w:w="150" w:type="dxa"/>
              <w:bottom w:w="150" w:type="dxa"/>
              <w:right w:w="150" w:type="dxa"/>
            </w:tcMar>
            <w:textDirection w:val="lrTb"/>
            <w:vAlign w:val="center"/>
          </w:tcPr>
          <w:p>
            <w:pPr>
              <w:widowControl w:val="on"/>
              <w:pBdr/>
              <w:spacing w:before="0" w:after="0" w:line="240" w:lineRule="auto"/>
              <w:ind w:left="0" w:right="0"/>
              <w:jc w:val="left"/>
            </w:pPr>
            <w:r>
              <w:rPr>
                <w:b/>
                <w:bCs/>
                <w:color w:val="00274C"/>
                <w:position w:val="-2"/>
                <w:sz w:val="20"/>
                <w:szCs w:val="20"/>
                <w:u w:val="none"/>
              </w:rPr>
              <w:t xml:space="preserve">Tab. 2.8</w:t>
            </w:r>
            <w:r>
              <w:rPr>
                <w:color w:val="00274C"/>
                <w:position w:val="-2"/>
                <w:sz w:val="20"/>
                <w:szCs w:val="20"/>
                <w:u w:val="none"/>
              </w:rPr>
              <w:t xml:space="preserve">  shows the control panel components.
</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2.8</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POS.</w:t>
                  </w:r>
                </w:p>
              </w:tc>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Switch key to start the panel and motor</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B</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data or errors display</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C</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Top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D</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Bottom navigation menu arrow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E</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Data selection or entry push button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F</w:t>
                  </w:r>
                </w:p>
              </w:tc>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hd w:val="clear" w:color="auto" w:fill="E1E2E0"/>
                    <w:spacing w:before="0" w:after="0" w:line="262" w:lineRule="auto"/>
                    <w:ind w:left="0" w:right="0"/>
                    <w:jc w:val="left"/>
                    <w:textDirection w:val="lrTb"/>
                    <w:textAlignment w:val="center"/>
                  </w:pPr>
                  <w:r>
                    <w:rPr>
                      <w:color w:val="00274C"/>
                      <w:position w:val="-2"/>
                      <w:sz w:val="20"/>
                      <w:szCs w:val="20"/>
                      <w:u w:val="none"/>
                      <w:shd w:val="clear" w:color="auto" w:fill="E1E2E0"/>
                    </w:rPr>
                    <w:t xml:space="preserve">Engine operating status (green = no problem detected)</w:t>
                  </w:r>
                </w:p>
              </w:tc>
            </w:tr>
          </w:tbl>
          <w:p/>
        </w:tc>
        <w:tc>
          <w:tcPr>
            <w:tcMar>
              <w:top w:w="150" w:type="dxa"/>
              <w:left w:w="150" w:type="dxa"/>
              <w:bottom w:w="150" w:type="dxa"/>
              <w:right w:w="150" w:type="dxa"/>
            </w:tcMar>
            <w:textDirection w:val="lrTb"/>
            <w:vAlign w:val="top"/>
          </w:tcPr>
          <w:p>
            <w:r>
              <w:rPr>
                <w:position w:val="-196"/>
              </w:rPr>
              <w:drawing>
                <wp:inline distT="0" distB="0" distL="0" distR="0">
                  <wp:extent cx="2196000" cy="1296000"/>
                  <wp:effectExtent b="0" l="0" r="0" t="0"/>
                  <wp:docPr id="59074729" name="name39546101928716d5b"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38746101928716d54" cstate="print"/>
                          <a:stretch>
                            <a:fillRect/>
                          </a:stretch>
                        </pic:blipFill>
                        <pic:spPr>
                          <a:xfrm>
                            <a:off x="0" y="0"/>
                            <a:ext cx="2196000" cy="129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2.1</w:t>
            </w:r>
          </w:p>
        </w:tc>
      </w:tr>
      <w:tr>
        <w:trPr>
          <w:trHeight w:val="0" w:hRule="atLeast"/>
        </w:trPr>
        <w:tc>
          <w:tcPr>
            <w:gridSpan w:val="2"/>
            <w:tcMar>
              <w:top w:w="150" w:type="dxa"/>
              <w:left w:w="150" w:type="dxa"/>
              <w:bottom w:w="150" w:type="dxa"/>
              <w:right w:w="150" w:type="dxa"/>
            </w:tcMar>
            <w:textDirection w:val="lrTb"/>
            <w:vAlign w:val="center"/>
          </w:tcPr>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if LED </w:t>
            </w:r>
            <w:r>
              <w:rPr>
                <w:b/>
                <w:bCs/>
                <w:color w:val="00274C"/>
                <w:position w:val="-2"/>
                <w:sz w:val="20"/>
                <w:szCs w:val="20"/>
                <w:u w:val="none"/>
              </w:rPr>
              <w:t xml:space="preserve">F</w:t>
            </w:r>
            <w:r>
              <w:rPr>
                <w:color w:val="00274C"/>
                <w:position w:val="-2"/>
                <w:sz w:val="20"/>
                <w:szCs w:val="20"/>
                <w:u w:val="none"/>
              </w:rPr>
              <w:t xml:space="preserve"> is red, contact authorised KOHLER workshops to know what type of problem it is. Certain problems automatically switch off the engine.</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Tab. 2.9 </w:t>
            </w:r>
            <w:r>
              <w:rPr>
                <w:color w:val="00274C"/>
                <w:position w:val="-2"/>
                <w:sz w:val="20"/>
                <w:szCs w:val="20"/>
                <w:u w:val="none"/>
              </w:rPr>
              <w:t xml:space="preserve"> shows data that can be consulted on display </w:t>
            </w:r>
            <w:r>
              <w:rPr>
                <w:b/>
                <w:bCs/>
                <w:color w:val="00274C"/>
                <w:position w:val="-2"/>
                <w:sz w:val="20"/>
                <w:szCs w:val="20"/>
                <w:u w:val="none"/>
              </w:rPr>
              <w:t xml:space="preserve">B</w:t>
            </w:r>
            <w:r>
              <w:rPr>
                <w:color w:val="00274C"/>
                <w:position w:val="-2"/>
                <w:sz w:val="20"/>
                <w:szCs w:val="20"/>
                <w:u w:val="none"/>
              </w:rPr>
              <w:t xml:space="preserve"> by pressing push buttons </w:t>
            </w:r>
            <w:r>
              <w:rPr>
                <w:b/>
                <w:bCs/>
                <w:color w:val="00274C"/>
                <w:position w:val="-2"/>
                <w:sz w:val="20"/>
                <w:szCs w:val="20"/>
                <w:u w:val="none"/>
              </w:rPr>
              <w:t xml:space="preserve">C</w:t>
            </w:r>
            <w:r>
              <w:rPr>
                <w:color w:val="00274C"/>
                <w:position w:val="-2"/>
                <w:sz w:val="20"/>
                <w:szCs w:val="20"/>
                <w:u w:val="none"/>
              </w:rPr>
              <w:t xml:space="preserve"> or </w:t>
            </w:r>
            <w:r>
              <w:rPr>
                <w:b/>
                <w:bCs/>
                <w:color w:val="00274C"/>
                <w:position w:val="-2"/>
                <w:sz w:val="20"/>
                <w:szCs w:val="20"/>
                <w:u w:val="none"/>
              </w:rPr>
              <w:t xml:space="preserve">D</w:t>
            </w:r>
            <w:r>
              <w:rPr>
                <w:color w:val="00274C"/>
                <w:position w:val="-2"/>
                <w:sz w:val="20"/>
                <w:szCs w:val="20"/>
                <w:u w:val="none"/>
              </w:rPr>
              <w:t xml:space="preserve"> .</w:t>
            </w:r>
          </w:p>
          <w:p/>
          <w:p/>
          <w:p>
            <w:pPr>
              <w:widowControl w:val="on"/>
              <w:pBdr/>
              <w:spacing w:before="0" w:after="0" w:line="262" w:lineRule="auto"/>
              <w:ind w:left="0" w:right="0"/>
              <w:jc w:val="left"/>
              <w:textDirection w:val="lrTb"/>
              <w:textAlignment w:val="center"/>
            </w:pPr>
            <w:r>
              <w:rPr>
                <w:b/>
                <w:bCs/>
                <w:color w:val="00274C"/>
                <w:position w:val="-2"/>
                <w:sz w:val="20"/>
                <w:szCs w:val="20"/>
                <w:u w:val="none"/>
              </w:rPr>
              <w:t xml:space="preserve">NOTE</w:t>
            </w:r>
            <w:r>
              <w:rPr>
                <w:color w:val="00274C"/>
                <w:position w:val="-2"/>
                <w:sz w:val="20"/>
                <w:szCs w:val="20"/>
                <w:u w:val="none"/>
              </w:rPr>
              <w:t xml:space="preserve"> : data described in </w:t>
            </w:r>
            <w:r>
              <w:rPr>
                <w:b/>
                <w:bCs/>
                <w:color w:val="00274C"/>
                <w:position w:val="-2"/>
                <w:sz w:val="20"/>
                <w:szCs w:val="20"/>
                <w:u w:val="none"/>
              </w:rPr>
              <w:t xml:space="preserve">Tab. 2.9</w:t>
            </w:r>
            <w:r>
              <w:rPr>
                <w:color w:val="00274C"/>
                <w:position w:val="-2"/>
                <w:sz w:val="20"/>
                <w:szCs w:val="20"/>
                <w:u w:val="none"/>
              </w:rPr>
              <w:t xml:space="preserve">  can differ, therefore, consult the machine's manual.</w:t>
            </w:r>
          </w:p>
          <w:p>
            <w:pPr>
              <w:widowControl w:val="on"/>
              <w:pBdr/>
              <w:spacing w:before="0" w:after="0" w:line="262" w:lineRule="auto"/>
              <w:ind w:left="0" w:right="0"/>
              <w:jc w:val="left"/>
              <w:textDirection w:val="lrTb"/>
              <w:textAlignment w:val="center"/>
            </w:pPr>
            <w:r>
              <w:rPr>
                <w:b/>
                <w:bCs/>
                <w:color w:val="00274C"/>
                <w:position w:val="-2"/>
                <w:sz w:val="20"/>
                <w:szCs w:val="20"/>
                <w:u w:val="none"/>
              </w:rPr>
              <w:br/>
              <w:t xml:space="preserve">Tab 2.9</w:t>
            </w:r>
          </w:p>
          <w:tbl>
            <w:tblPr>
              <w:tblStyle w:val="NormalTablePHPDOCX"/>
              <w:tblCellMar>
                <w:left w:type="dxa" w:w="0"/>
                <w:right w:type="dxa" w:w="0"/>
              </w:tblCellMar>
              <w:tblW w:w="5000" w:type="pct"/>
              <w:tblInd w:w="0" w:type="auto"/>
              <w:tblBorders/>
            </w:tblPr>
            <w:tblGrid>
              <w:gridCol w:w="1"/>
            </w:tblGrid>
            <w:tr>
              <w:trPr>
                <w:trHeight w:val="0" w:hRule="atLeast"/>
              </w:trPr>
              <w:tc>
                <w:tcPr>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textDirection w:val="lrTb"/>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DESCRIPTION</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Operating hours</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Hours left for maintenance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rpm</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Engine oil pressure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Coolant temperature</w:t>
                  </w:r>
                </w:p>
              </w:tc>
            </w:tr>
            <w:tr>
              <w:trPr>
                <w:trHeight w:val="0" w:hRule="atLeast"/>
              </w:trPr>
              <w:tc>
                <w:tcPr>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textDirection w:val="lrTb"/>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Torque used @ rpm (% used)</w:t>
                  </w:r>
                </w:p>
              </w:tc>
            </w:tr>
          </w:tbl>
          <w:p/>
        </w:tc>
      </w:tr>
    </w:tbl>
    <w:p>
      <w:pPr>
        <w:widowControl w:val="on"/>
        <w:pBdr/>
        <w:spacing w:before="0" w:after="0" w:line="262" w:lineRule="auto"/>
        <w:ind w:left="0" w:right="0"/>
        <w:jc w:val="left"/>
        <w:textDirection w:val="lrTb"/>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0622">
    <w:multiLevelType w:val="hybridMultilevel"/>
    <w:lvl w:ilvl="0" w:tplc="75698876">
      <w:start w:val="1"/>
      <w:numFmt w:val="decimal"/>
      <w:lvlText w:val="%1."/>
      <w:lvlJc w:val="left"/>
      <w:pPr>
        <w:ind w:left="720" w:hanging="360"/>
      </w:pPr>
    </w:lvl>
    <w:lvl w:ilvl="1" w:tplc="75698876" w:tentative="1">
      <w:start w:val="1"/>
      <w:numFmt w:val="lowerLetter"/>
      <w:lvlText w:val="%2."/>
      <w:lvlJc w:val="left"/>
      <w:pPr>
        <w:ind w:left="1440" w:hanging="360"/>
      </w:pPr>
    </w:lvl>
    <w:lvl w:ilvl="2" w:tplc="75698876" w:tentative="1">
      <w:start w:val="1"/>
      <w:numFmt w:val="lowerRoman"/>
      <w:lvlText w:val="%3."/>
      <w:lvlJc w:val="right"/>
      <w:pPr>
        <w:ind w:left="2160" w:hanging="180"/>
      </w:pPr>
    </w:lvl>
    <w:lvl w:ilvl="3" w:tplc="75698876" w:tentative="1">
      <w:start w:val="1"/>
      <w:numFmt w:val="decimal"/>
      <w:lvlText w:val="%4."/>
      <w:lvlJc w:val="left"/>
      <w:pPr>
        <w:ind w:left="2880" w:hanging="360"/>
      </w:pPr>
    </w:lvl>
    <w:lvl w:ilvl="4" w:tplc="75698876" w:tentative="1">
      <w:start w:val="1"/>
      <w:numFmt w:val="lowerLetter"/>
      <w:lvlText w:val="%5."/>
      <w:lvlJc w:val="left"/>
      <w:pPr>
        <w:ind w:left="3600" w:hanging="360"/>
      </w:pPr>
    </w:lvl>
    <w:lvl w:ilvl="5" w:tplc="75698876" w:tentative="1">
      <w:start w:val="1"/>
      <w:numFmt w:val="lowerRoman"/>
      <w:lvlText w:val="%6."/>
      <w:lvlJc w:val="right"/>
      <w:pPr>
        <w:ind w:left="4320" w:hanging="180"/>
      </w:pPr>
    </w:lvl>
    <w:lvl w:ilvl="6" w:tplc="75698876" w:tentative="1">
      <w:start w:val="1"/>
      <w:numFmt w:val="decimal"/>
      <w:lvlText w:val="%7."/>
      <w:lvlJc w:val="left"/>
      <w:pPr>
        <w:ind w:left="5040" w:hanging="360"/>
      </w:pPr>
    </w:lvl>
    <w:lvl w:ilvl="7" w:tplc="75698876" w:tentative="1">
      <w:start w:val="1"/>
      <w:numFmt w:val="lowerLetter"/>
      <w:lvlText w:val="%8."/>
      <w:lvlJc w:val="left"/>
      <w:pPr>
        <w:ind w:left="5760" w:hanging="360"/>
      </w:pPr>
    </w:lvl>
    <w:lvl w:ilvl="8" w:tplc="75698876" w:tentative="1">
      <w:start w:val="1"/>
      <w:numFmt w:val="lowerRoman"/>
      <w:lvlText w:val="%9."/>
      <w:lvlJc w:val="right"/>
      <w:pPr>
        <w:ind w:left="6480" w:hanging="180"/>
      </w:pPr>
    </w:lvl>
  </w:abstractNum>
  <w:abstractNum w:abstractNumId="30621">
    <w:multiLevelType w:val="hybridMultilevel"/>
    <w:lvl w:ilvl="0" w:tplc="995439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0621">
    <w:abstractNumId w:val="30621"/>
  </w:num>
  <w:num w:numId="30622">
    <w:abstractNumId w:val="306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578215058" Type="http://schemas.openxmlformats.org/officeDocument/2006/relationships/comments" Target="comments.xml"/><Relationship Id="rId401335869" Type="http://schemas.microsoft.com/office/2011/relationships/commentsExtended" Target="commentsExtended.xml"/><Relationship Id="rId17097954" Type="http://schemas.openxmlformats.org/officeDocument/2006/relationships/image" Target="media/imgrId17097954.jpg"/><Relationship Id="rId39806101928680ed9" Type="http://schemas.openxmlformats.org/officeDocument/2006/relationships/image" Target="media/imgrId39806101928680ed9.jpg"/><Relationship Id="rId456561019286a4de3" Type="http://schemas.openxmlformats.org/officeDocument/2006/relationships/image" Target="media/imgrId456561019286a4de3.jpg"/><Relationship Id="rId846961019286b544c" Type="http://schemas.openxmlformats.org/officeDocument/2006/relationships/image" Target="media/imgrId846961019286b544c.jpg"/><Relationship Id="rId338561019286c2e47" Type="http://schemas.openxmlformats.org/officeDocument/2006/relationships/image" Target="media/imgrId338561019286c2e47.jpg"/><Relationship Id="rId317361019286d352a" Type="http://schemas.openxmlformats.org/officeDocument/2006/relationships/image" Target="media/imgrId317361019286d352a.jpg"/><Relationship Id="rId374861019286e2c46" Type="http://schemas.openxmlformats.org/officeDocument/2006/relationships/image" Target="media/imgrId374861019286e2c46.jpg"/><Relationship Id="rId99306101928703927" Type="http://schemas.openxmlformats.org/officeDocument/2006/relationships/image" Target="media/imgrId99306101928703927.png"/><Relationship Id="rId38746101928716d54" Type="http://schemas.openxmlformats.org/officeDocument/2006/relationships/image" Target="media/imgrId38746101928716d54.jp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7097954" Type="http://schemas.openxmlformats.org/officeDocument/2006/relationships/image" Target="media/imgrId17097954.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7097954" Type="http://schemas.openxmlformats.org/officeDocument/2006/relationships/image" Target="media/imgrId17097954.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7097954" Type="http://schemas.openxmlformats.org/officeDocument/2006/relationships/image" Target="media/imgrId17097954.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7097954" Type="http://schemas.openxmlformats.org/officeDocument/2006/relationships/image" Target="media/imgrId17097954.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7097954" Type="http://schemas.openxmlformats.org/officeDocument/2006/relationships/image" Target="media/imgrId17097954.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7097954" Type="http://schemas.openxmlformats.org/officeDocument/2006/relationships/image" Target="media/imgrId1709795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