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1286719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387372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0897620" w:name="ctxt"/>
    <w:bookmarkEnd w:id="80897620"/>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6640"/>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6640"/>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6640"/>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6640"/>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6640"/>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6640"/>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6640"/>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3664610848681412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134961084868142c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1405610848681444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452261084868145c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6642"/>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6642"/>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6642"/>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6642"/>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42">
    <w:multiLevelType w:val="hybridMultilevel"/>
    <w:lvl w:ilvl="0" w:tplc="33982764">
      <w:start w:val="1"/>
      <w:numFmt w:val="decimal"/>
      <w:lvlText w:val="%1."/>
      <w:lvlJc w:val="left"/>
      <w:pPr>
        <w:ind w:left="720" w:hanging="360"/>
      </w:pPr>
    </w:lvl>
    <w:lvl w:ilvl="1" w:tplc="33982764" w:tentative="1">
      <w:start w:val="1"/>
      <w:numFmt w:val="lowerLetter"/>
      <w:lvlText w:val="%2."/>
      <w:lvlJc w:val="left"/>
      <w:pPr>
        <w:ind w:left="1440" w:hanging="360"/>
      </w:pPr>
    </w:lvl>
    <w:lvl w:ilvl="2" w:tplc="33982764" w:tentative="1">
      <w:start w:val="1"/>
      <w:numFmt w:val="lowerRoman"/>
      <w:lvlText w:val="%3."/>
      <w:lvlJc w:val="right"/>
      <w:pPr>
        <w:ind w:left="2160" w:hanging="180"/>
      </w:pPr>
    </w:lvl>
    <w:lvl w:ilvl="3" w:tplc="33982764" w:tentative="1">
      <w:start w:val="1"/>
      <w:numFmt w:val="decimal"/>
      <w:lvlText w:val="%4."/>
      <w:lvlJc w:val="left"/>
      <w:pPr>
        <w:ind w:left="2880" w:hanging="360"/>
      </w:pPr>
    </w:lvl>
    <w:lvl w:ilvl="4" w:tplc="33982764" w:tentative="1">
      <w:start w:val="1"/>
      <w:numFmt w:val="lowerLetter"/>
      <w:lvlText w:val="%5."/>
      <w:lvlJc w:val="left"/>
      <w:pPr>
        <w:ind w:left="3600" w:hanging="360"/>
      </w:pPr>
    </w:lvl>
    <w:lvl w:ilvl="5" w:tplc="33982764" w:tentative="1">
      <w:start w:val="1"/>
      <w:numFmt w:val="lowerRoman"/>
      <w:lvlText w:val="%6."/>
      <w:lvlJc w:val="right"/>
      <w:pPr>
        <w:ind w:left="4320" w:hanging="180"/>
      </w:pPr>
    </w:lvl>
    <w:lvl w:ilvl="6" w:tplc="33982764" w:tentative="1">
      <w:start w:val="1"/>
      <w:numFmt w:val="decimal"/>
      <w:lvlText w:val="%7."/>
      <w:lvlJc w:val="left"/>
      <w:pPr>
        <w:ind w:left="5040" w:hanging="360"/>
      </w:pPr>
    </w:lvl>
    <w:lvl w:ilvl="7" w:tplc="33982764" w:tentative="1">
      <w:start w:val="1"/>
      <w:numFmt w:val="lowerLetter"/>
      <w:lvlText w:val="%8."/>
      <w:lvlJc w:val="left"/>
      <w:pPr>
        <w:ind w:left="5760" w:hanging="360"/>
      </w:pPr>
    </w:lvl>
    <w:lvl w:ilvl="8" w:tplc="33982764" w:tentative="1">
      <w:start w:val="1"/>
      <w:numFmt w:val="lowerRoman"/>
      <w:lvlText w:val="%9."/>
      <w:lvlJc w:val="right"/>
      <w:pPr>
        <w:ind w:left="6480" w:hanging="180"/>
      </w:pPr>
    </w:lvl>
  </w:abstractNum>
  <w:abstractNum w:abstractNumId="6641">
    <w:multiLevelType w:val="hybridMultilevel"/>
    <w:lvl w:ilvl="0" w:tplc="52547398">
      <w:start w:val="1"/>
      <w:numFmt w:val="decimal"/>
      <w:lvlText w:val="%1."/>
      <w:lvlJc w:val="left"/>
      <w:pPr>
        <w:ind w:left="720" w:hanging="360"/>
      </w:pPr>
    </w:lvl>
    <w:lvl w:ilvl="1" w:tplc="52547398" w:tentative="1">
      <w:start w:val="1"/>
      <w:numFmt w:val="lowerLetter"/>
      <w:lvlText w:val="%2."/>
      <w:lvlJc w:val="left"/>
      <w:pPr>
        <w:ind w:left="1440" w:hanging="360"/>
      </w:pPr>
    </w:lvl>
    <w:lvl w:ilvl="2" w:tplc="52547398" w:tentative="1">
      <w:start w:val="1"/>
      <w:numFmt w:val="lowerRoman"/>
      <w:lvlText w:val="%3."/>
      <w:lvlJc w:val="right"/>
      <w:pPr>
        <w:ind w:left="2160" w:hanging="180"/>
      </w:pPr>
    </w:lvl>
    <w:lvl w:ilvl="3" w:tplc="52547398" w:tentative="1">
      <w:start w:val="1"/>
      <w:numFmt w:val="decimal"/>
      <w:lvlText w:val="%4."/>
      <w:lvlJc w:val="left"/>
      <w:pPr>
        <w:ind w:left="2880" w:hanging="360"/>
      </w:pPr>
    </w:lvl>
    <w:lvl w:ilvl="4" w:tplc="52547398" w:tentative="1">
      <w:start w:val="1"/>
      <w:numFmt w:val="lowerLetter"/>
      <w:lvlText w:val="%5."/>
      <w:lvlJc w:val="left"/>
      <w:pPr>
        <w:ind w:left="3600" w:hanging="360"/>
      </w:pPr>
    </w:lvl>
    <w:lvl w:ilvl="5" w:tplc="52547398" w:tentative="1">
      <w:start w:val="1"/>
      <w:numFmt w:val="lowerRoman"/>
      <w:lvlText w:val="%6."/>
      <w:lvlJc w:val="right"/>
      <w:pPr>
        <w:ind w:left="4320" w:hanging="180"/>
      </w:pPr>
    </w:lvl>
    <w:lvl w:ilvl="6" w:tplc="52547398" w:tentative="1">
      <w:start w:val="1"/>
      <w:numFmt w:val="decimal"/>
      <w:lvlText w:val="%7."/>
      <w:lvlJc w:val="left"/>
      <w:pPr>
        <w:ind w:left="5040" w:hanging="360"/>
      </w:pPr>
    </w:lvl>
    <w:lvl w:ilvl="7" w:tplc="52547398" w:tentative="1">
      <w:start w:val="1"/>
      <w:numFmt w:val="lowerLetter"/>
      <w:lvlText w:val="%8."/>
      <w:lvlJc w:val="left"/>
      <w:pPr>
        <w:ind w:left="5760" w:hanging="360"/>
      </w:pPr>
    </w:lvl>
    <w:lvl w:ilvl="8" w:tplc="52547398" w:tentative="1">
      <w:start w:val="1"/>
      <w:numFmt w:val="lowerRoman"/>
      <w:lvlText w:val="%9."/>
      <w:lvlJc w:val="right"/>
      <w:pPr>
        <w:ind w:left="6480" w:hanging="180"/>
      </w:pPr>
    </w:lvl>
  </w:abstractNum>
  <w:abstractNum w:abstractNumId="6640">
    <w:multiLevelType w:val="hybridMultilevel"/>
    <w:lvl w:ilvl="0" w:tplc="15674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640">
    <w:abstractNumId w:val="6640"/>
  </w:num>
  <w:num w:numId="6641">
    <w:abstractNumId w:val="6641"/>
  </w:num>
  <w:num w:numId="6642">
    <w:abstractNumId w:val="66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33507729" Type="http://schemas.openxmlformats.org/officeDocument/2006/relationships/comments" Target="comments.xml"/><Relationship Id="rId480147626" Type="http://schemas.microsoft.com/office/2011/relationships/commentsExtended" Target="commentsExtended.xml"/><Relationship Id="rId43873725" Type="http://schemas.openxmlformats.org/officeDocument/2006/relationships/image" Target="media/imgrId43873725.jpg"/><Relationship Id="rId36646108486814121" Type="http://schemas.openxmlformats.org/officeDocument/2006/relationships/hyperlink" Target="http://dealers.kohlerpower.it/" TargetMode="External"/><Relationship Id="rId134961084868142c8" Type="http://schemas.openxmlformats.org/officeDocument/2006/relationships/hyperlink" Target="http://dealers.kohlerpower.it/" TargetMode="External"/><Relationship Id="rId14056108486814449" Type="http://schemas.openxmlformats.org/officeDocument/2006/relationships/hyperlink" Target="http://dealers.kohlerpower.it/" TargetMode="External"/><Relationship Id="rId452261084868145c8"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3873725" Type="http://schemas.openxmlformats.org/officeDocument/2006/relationships/image" Target="media/imgrId4387372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3873725" Type="http://schemas.openxmlformats.org/officeDocument/2006/relationships/image" Target="media/imgrId4387372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3873725" Type="http://schemas.openxmlformats.org/officeDocument/2006/relationships/image" Target="media/imgrId4387372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3873725" Type="http://schemas.openxmlformats.org/officeDocument/2006/relationships/image" Target="media/imgrId4387372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3873725" Type="http://schemas.openxmlformats.org/officeDocument/2006/relationships/image" Target="media/imgrId4387372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3873725" Type="http://schemas.openxmlformats.org/officeDocument/2006/relationships/image" Target="media/imgrId4387372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