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3404 TCR / KDI 3404 TCR HT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510205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857725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628938" w:name="ctxt"/>
    <w:bookmarkEnd w:id="24628938"/>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valvole per cilindro con punterie idrauliche;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Turbocompressore con valvola Waste-gate;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diretta common rail.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2852770" name="name4810690ba47d9edad"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2195690ba47d9eda9" cstate="print"/>
                          <a:stretch>
                            <a:fillRect/>
                          </a:stretch>
                        </pic:blipFill>
                        <pic:spPr>
                          <a:xfrm>
                            <a:off x="0" y="0"/>
                            <a:ext cx="12816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versione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2232077" name="name5699690ba47db4999"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5003690ba47db4996"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66234" name="name3881690ba47db94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49690ba47db948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8099"/>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8099"/>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8099"/>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8099"/>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8099"/>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284987" name="name6290690ba47dc0f3f"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55690ba47dc0f3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8099"/>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8099"/>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8099"/>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9116690ba47dc1d4c"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8099"/>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8099"/>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18099"/>
        </w:numPr>
        <w:spacing w:before="0" w:after="0" w:line="240" w:lineRule="auto"/>
        <w:jc w:val="left"/>
        <w:rPr>
          <w:color w:val="00274C"/>
          <w:sz w:val="20"/>
          <w:szCs w:val="20"/>
        </w:rPr>
      </w:pPr>
      <w:r>
        <w:rPr>
          <w:color w:val="00274C"/>
          <w:sz w:val="20"/>
          <w:szCs w:val="20"/>
          <w:u w:val="none"/>
        </w:rPr>
        <w:t xml:space="preserve">La tecnologia Low S.A.P.S. (olio con basso contenuto di ceneri solfate, fosforo e zolfo) mantiene il catalizzatore in buone condizioni di funzionamento. La presenza di ceneri solfate, fosforo e zolfo e zolfo, nel tempo, causano l’intasamento del catalizzatore e la sua conseguente inefficienza.</w:t>
      </w:r>
    </w:p>
    <w:p>
      <w:pPr>
        <w:numPr>
          <w:ilvl w:val="0"/>
          <w:numId w:val="18099"/>
        </w:numPr>
        <w:spacing w:before="0" w:after="0" w:line="240" w:lineRule="auto"/>
        <w:jc w:val="left"/>
        <w:rPr>
          <w:color w:val="00274C"/>
          <w:sz w:val="20"/>
          <w:szCs w:val="20"/>
        </w:rPr>
      </w:pPr>
      <w:r>
        <w:rPr>
          <w:color w:val="00274C"/>
          <w:sz w:val="20"/>
          <w:szCs w:val="20"/>
          <w:u w:val="none"/>
        </w:rPr>
        <w:t xml:space="preserve">Per quanto riguarda l’olio Mid S.A.P.S., il livello di ceneri solfate è lo stesso dell’olio API CJ-4 ≤ 1,0%, ma secondo la standardizzazione ACEA questi oli sono indicati come Mid SAPS.</w:t>
      </w:r>
    </w:p>
    <w:p>
      <w:pPr>
        <w:numPr>
          <w:ilvl w:val="0"/>
          <w:numId w:val="18099"/>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NOTA</w:t>
      </w:r>
      <w:r>
        <w:rPr>
          <w:color w:val="00274C"/>
          <w:sz w:val="20"/>
          <w:szCs w:val="20"/>
          <w:u w:val="none"/>
        </w:rPr>
        <w:t xml:space="preserve"> : NON utilizzare carburante con contenuto di zolfo superiore a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w:t>
      </w:r>
      <w:r>
        <w:rPr>
          <w:color w:val="00274C"/>
          <w:sz w:val="20"/>
          <w:szCs w:val="20"/>
          <w:u w:val="none"/>
        </w:rPr>
        <w:t xml:space="preserve"> </w:t>
      </w:r>
      <w:r>
        <w:rPr>
          <w:b/>
          <w:bCs/>
          <w:color w:val="00274C"/>
          <w:sz w:val="20"/>
          <w:szCs w:val="20"/>
          <w:u w:val="none"/>
        </w:rPr>
        <w:t xml:space="preserve">Su tutti i motori conformi alla normativa emissioni Stage-V (motori provvisti di dispositivo DPF), l'olio da utilizzare</w:t>
      </w:r>
      <w:r>
        <w:rPr>
          <w:color w:val="00274C"/>
          <w:sz w:val="20"/>
          <w:szCs w:val="20"/>
          <w:u w:val="none"/>
        </w:rPr>
        <w:t xml:space="preserve"> </w:t>
      </w:r>
      <w:r>
        <w:rPr>
          <w:b/>
          <w:bCs/>
          <w:color w:val="00274C"/>
          <w:sz w:val="20"/>
          <w:szCs w:val="20"/>
          <w:u w:val="none"/>
        </w:rPr>
        <w:t xml:space="preserve">deve essere obbligatoriamente conforme con la specifica API</w:t>
      </w:r>
      <w:r>
        <w:rPr>
          <w:color w:val="00274C"/>
          <w:sz w:val="20"/>
          <w:szCs w:val="20"/>
          <w:u w:val="none"/>
        </w:rPr>
        <w:t xml:space="preserve"> </w:t>
      </w:r>
      <w:r>
        <w:rPr>
          <w:b/>
          <w:bCs/>
          <w:color w:val="00274C"/>
          <w:sz w:val="20"/>
          <w:szCs w:val="20"/>
          <w:u w:val="none"/>
        </w:rPr>
        <w:t xml:space="preserve">CJ-4 Low S.A.P.S o ACEA</w:t>
      </w:r>
      <w:r>
        <w:rPr>
          <w:color w:val="00274C"/>
          <w:sz w:val="20"/>
          <w:szCs w:val="20"/>
          <w:u w:val="none"/>
        </w:rPr>
        <w:t xml:space="preserve"> </w:t>
      </w:r>
      <w:r>
        <w:rPr>
          <w:b/>
          <w:bCs/>
          <w:color w:val="00274C"/>
          <w:sz w:val="20"/>
          <w:szCs w:val="20"/>
          <w:u w:val="none"/>
        </w:rPr>
        <w:t xml:space="preserve">E6 Low S.A.P.S.</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 NOTA</w:t>
      </w:r>
      <w:r>
        <w:rPr>
          <w:color w:val="00274C"/>
          <w:sz w:val="20"/>
          <w:szCs w:val="20"/>
          <w:u w:val="none"/>
        </w:rPr>
        <w:t xml:space="preserve"> : Gli oli Low S.A.P.S. con ceneri solfatate &lt;1% non possono essere usati con carburanti con contenuto di zolfo &gt; 50ppm.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NOTA:</w:t>
      </w:r>
      <w:r>
        <w:rPr>
          <w:color w:val="00274C"/>
          <w:sz w:val="20"/>
          <w:szCs w:val="20"/>
          <w:u w:val="none"/>
        </w:rPr>
        <w:t xml:space="preserve"> NON utilizzare carburante con contenuto di zolfo superiore a 500ppm.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4452272" name="name5199690ba47dd136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50690ba47dd136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6425324" name="name3532690ba47dd8d7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5991690ba47dd8d7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18099"/>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18099"/>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18099"/>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Certificatione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non certificati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nei paesi dove il carburante ha basse proprietà lubrificanti, il filtro carburante primario deve essere provvisto di dosatore di lubrificante.</w:t>
                  </w:r>
                </w:p>
                <w:p>
                  <w:pPr>
                    <w:widowControl w:val="on"/>
                    <w:pBdr/>
                    <w:spacing w:before="0" w:after="0" w:line="262" w:lineRule="auto"/>
                    <w:ind w:left="0" w:right="0"/>
                    <w:jc w:val="left"/>
                    <w:textAlignment w:val="center"/>
                  </w:pPr>
                  <w:r>
                    <w:rPr>
                      <w:b/>
                      <w:bCs/>
                      <w:color w:val="00274C"/>
                      <w:position w:val="-2"/>
                      <w:sz w:val="20"/>
                      <w:szCs w:val="20"/>
                      <w:u w:val="none"/>
                    </w:rPr>
                    <w:t xml:space="preserve">Contattare Kohler per informazioni sul filtro approvato per questo scopo</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Coppia e Potenza potrebbe essere inferiore dall' 1% al 5% dovuto alla bassa densità del carburante rispetto al carburante diesel.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militare NATO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contenuto di zolfo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carburante con alto contenuto di zolfo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ad uso NATO)</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Funzionamento con Jet Fuels</w:t>
                  </w:r>
                </w:p>
                <w:p/>
                <w:p/>
                <w:p>
                  <w:pPr>
                    <w:widowControl w:val="on"/>
                    <w:pBdr/>
                    <w:spacing w:before="0" w:after="0" w:line="262" w:lineRule="auto"/>
                    <w:ind w:left="0" w:right="0"/>
                    <w:jc w:val="left"/>
                    <w:textAlignment w:val="top"/>
                  </w:pPr>
                  <w:r>
                    <w:rPr>
                      <w:color w:val="00274C"/>
                      <w:position w:val="0"/>
                      <w:sz w:val="20"/>
                      <w:szCs w:val="20"/>
                      <w:u w:val="none"/>
                    </w:rPr>
                    <w:t xml:space="preserve">I carburanti Jet possono essere utilizzati solo con motore provvisto di filtro carburante primario con dosatore di lubrificante.</w:t>
                  </w:r>
                </w:p>
                <w:p>
                  <w:pPr>
                    <w:widowControl w:val="on"/>
                    <w:pBdr/>
                    <w:spacing w:before="0" w:after="0" w:line="262" w:lineRule="auto"/>
                    <w:ind w:left="0" w:right="0"/>
                    <w:jc w:val="left"/>
                    <w:textAlignment w:val="top"/>
                  </w:pPr>
                  <w:r>
                    <w:rPr>
                      <w:color w:val="00274C"/>
                      <w:position w:val="0"/>
                      <w:sz w:val="20"/>
                      <w:szCs w:val="20"/>
                      <w:u w:val="none"/>
                    </w:rPr>
                    <w:t xml:space="preserve">A causa della minore densità e della perdita maggiore di volume di carburante a causa della minore viscosità, a seconda della velocità e della coppia del motore, è possibile una perdita di potenza fino al 10%.</w:t>
                  </w:r>
                </w:p>
                <w:p>
                  <w:pPr>
                    <w:widowControl w:val="on"/>
                    <w:pBdr/>
                    <w:spacing w:before="0" w:after="0" w:line="262" w:lineRule="auto"/>
                    <w:ind w:left="0" w:right="0"/>
                    <w:jc w:val="left"/>
                    <w:textAlignment w:val="top"/>
                  </w:pPr>
                  <w:r>
                    <w:rPr>
                      <w:color w:val="00274C"/>
                      <w:position w:val="0"/>
                      <w:sz w:val="20"/>
                      <w:szCs w:val="20"/>
                      <w:u w:val="none"/>
                    </w:rPr>
                    <w:t xml:space="preserve">Ci sono alcune proprietà problematiche del carburante tra i jet fuel elencati (viscosità, capacità lubrificanti e basso punto di ebollizione). È prevedibile un leggero aumento dell'usura del sistema di iniezione che può portare ad una durata statisticamente più breve di questi componenti. Il contenuto di zolfo deve essere inferiore a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ad uso NATO)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ad uso NATO, equivalente a F-34/F-35 con additivi)</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ad uso militare USA)</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per aviazione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per aviazione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ADDITIVI CARBURANTE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3836366" name="name4523690ba47debc0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462690ba47debc0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8099"/>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Quadro di comando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Nella </w:t>
            </w:r>
            <w:r>
              <w:rPr>
                <w:b/>
                <w:bCs/>
                <w:color w:val="00274C"/>
                <w:position w:val="-2"/>
                <w:sz w:val="20"/>
                <w:szCs w:val="20"/>
                <w:u w:val="none"/>
              </w:rPr>
              <w:t xml:space="preserve">Tab. 2.8</w:t>
            </w:r>
            <w:r>
              <w:rPr>
                <w:color w:val="00274C"/>
                <w:position w:val="-2"/>
                <w:sz w:val="20"/>
                <w:szCs w:val="20"/>
                <w:u w:val="none"/>
              </w:rPr>
              <w:t xml:space="preserve">  sono indicati i componenti del quadro di comando.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accensione quadro e motore con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Display di consultazione dati o errori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freccia di navigazione menu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Pulsante di selezione o inserimento dati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LED stato di funzionamento motore (verde = nessun inconveniente rilevato)</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4287675" name="name1600690ba47e0464d"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378690ba47e0464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nel caso il LED </w:t>
            </w:r>
            <w:r>
              <w:rPr>
                <w:b/>
                <w:bCs/>
                <w:color w:val="00274C"/>
                <w:position w:val="-2"/>
                <w:sz w:val="20"/>
                <w:szCs w:val="20"/>
                <w:u w:val="none"/>
              </w:rPr>
              <w:t xml:space="preserve">F</w:t>
            </w:r>
            <w:r>
              <w:rPr>
                <w:color w:val="00274C"/>
                <w:position w:val="-2"/>
                <w:sz w:val="20"/>
                <w:szCs w:val="20"/>
                <w:u w:val="none"/>
              </w:rPr>
              <w:t xml:space="preserve"> sia illuminato in rosso, consultare il le officine autorizzate </w:t>
            </w:r>
            <w:r>
              <w:rPr>
                <w:b/>
                <w:bCs/>
                <w:color w:val="00274C"/>
                <w:position w:val="-2"/>
                <w:sz w:val="20"/>
                <w:szCs w:val="20"/>
                <w:u w:val="none"/>
              </w:rPr>
              <w:t xml:space="preserve">KOHLER</w:t>
            </w:r>
            <w:r>
              <w:rPr>
                <w:color w:val="00274C"/>
                <w:position w:val="-2"/>
                <w:sz w:val="20"/>
                <w:szCs w:val="20"/>
                <w:u w:val="none"/>
              </w:rPr>
              <w:t xml:space="preserve"> per conoscere il tipo di inconveniente. Per alcuni inconvenienti si attiva lo spegnimento automatico del motore.</w:t>
            </w:r>
          </w:p>
          <w:p/>
          <w:p/>
          <w:p>
            <w:pPr>
              <w:widowControl w:val="on"/>
              <w:pBdr/>
              <w:spacing w:before="0" w:after="0" w:line="262" w:lineRule="auto"/>
              <w:ind w:left="0" w:right="0"/>
              <w:jc w:val="left"/>
              <w:textAlignment w:val="center"/>
            </w:pPr>
            <w:r>
              <w:rPr>
                <w:color w:val="00274C"/>
                <w:position w:val="-2"/>
                <w:sz w:val="20"/>
                <w:szCs w:val="20"/>
                <w:u w:val="none"/>
              </w:rPr>
              <w:t xml:space="preserve">Nella </w:t>
            </w:r>
            <w:r>
              <w:rPr>
                <w:b/>
                <w:bCs/>
                <w:color w:val="00274C"/>
                <w:position w:val="-2"/>
                <w:sz w:val="20"/>
                <w:szCs w:val="20"/>
                <w:u w:val="none"/>
              </w:rPr>
              <w:t xml:space="preserve">Tab. 2.9</w:t>
            </w:r>
            <w:r>
              <w:rPr>
                <w:color w:val="00274C"/>
                <w:position w:val="-2"/>
                <w:sz w:val="20"/>
                <w:szCs w:val="20"/>
                <w:u w:val="none"/>
              </w:rPr>
              <w:t xml:space="preserve">  sono indicati i dati che è possibile consultare sul display </w:t>
            </w:r>
            <w:r>
              <w:rPr>
                <w:b/>
                <w:bCs/>
                <w:color w:val="00274C"/>
                <w:position w:val="-2"/>
                <w:sz w:val="20"/>
                <w:szCs w:val="20"/>
                <w:u w:val="none"/>
              </w:rPr>
              <w:t xml:space="preserve">B</w:t>
            </w:r>
            <w:r>
              <w:rPr>
                <w:color w:val="00274C"/>
                <w:position w:val="-2"/>
                <w:sz w:val="20"/>
                <w:szCs w:val="20"/>
                <w:u w:val="none"/>
              </w:rPr>
              <w:t xml:space="preserve"> premendo i pulsanti </w:t>
            </w:r>
            <w:r>
              <w:rPr>
                <w:b/>
                <w:bCs/>
                <w:color w:val="00274C"/>
                <w:position w:val="-2"/>
                <w:sz w:val="20"/>
                <w:szCs w:val="20"/>
                <w:u w:val="none"/>
              </w:rPr>
              <w:t xml:space="preserve">C</w:t>
            </w:r>
            <w:r>
              <w:rPr>
                <w:color w:val="00274C"/>
                <w:position w:val="-2"/>
                <w:sz w:val="20"/>
                <w:szCs w:val="20"/>
                <w:u w:val="none"/>
              </w:rPr>
              <w:t xml:space="preserve"> o </w:t>
            </w:r>
            <w:r>
              <w:rPr>
                <w:b/>
                <w:bCs/>
                <w:color w:val="00274C"/>
                <w:position w:val="-2"/>
                <w:sz w:val="20"/>
                <w:szCs w:val="20"/>
                <w:u w:val="none"/>
              </w:rPr>
              <w:t xml:space="preserve">D.</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i dati descritti in </w:t>
            </w:r>
            <w:r>
              <w:rPr>
                <w:b/>
                <w:bCs/>
                <w:color w:val="00274C"/>
                <w:position w:val="-2"/>
                <w:sz w:val="20"/>
                <w:szCs w:val="20"/>
                <w:u w:val="none"/>
              </w:rPr>
              <w:t xml:space="preserve">Tab. 2.9</w:t>
            </w:r>
            <w:r>
              <w:rPr>
                <w:color w:val="00274C"/>
                <w:position w:val="-2"/>
                <w:sz w:val="20"/>
                <w:szCs w:val="20"/>
                <w:u w:val="none"/>
              </w:rPr>
              <w:t xml:space="preserve">  possono essere diversi, in tal caso consultare il manuale della macchina.</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Ore rimanenti alla manutenzione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olio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utilizzata @ rpm (% di utilizzo)</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100">
    <w:multiLevelType w:val="hybridMultilevel"/>
    <w:lvl w:ilvl="0" w:tplc="17296272">
      <w:start w:val="1"/>
      <w:numFmt w:val="decimal"/>
      <w:lvlText w:val="%1."/>
      <w:lvlJc w:val="left"/>
      <w:pPr>
        <w:ind w:left="720" w:hanging="360"/>
      </w:pPr>
    </w:lvl>
    <w:lvl w:ilvl="1" w:tplc="17296272" w:tentative="1">
      <w:start w:val="1"/>
      <w:numFmt w:val="lowerLetter"/>
      <w:lvlText w:val="%2."/>
      <w:lvlJc w:val="left"/>
      <w:pPr>
        <w:ind w:left="1440" w:hanging="360"/>
      </w:pPr>
    </w:lvl>
    <w:lvl w:ilvl="2" w:tplc="17296272" w:tentative="1">
      <w:start w:val="1"/>
      <w:numFmt w:val="lowerRoman"/>
      <w:lvlText w:val="%3."/>
      <w:lvlJc w:val="right"/>
      <w:pPr>
        <w:ind w:left="2160" w:hanging="180"/>
      </w:pPr>
    </w:lvl>
    <w:lvl w:ilvl="3" w:tplc="17296272" w:tentative="1">
      <w:start w:val="1"/>
      <w:numFmt w:val="decimal"/>
      <w:lvlText w:val="%4."/>
      <w:lvlJc w:val="left"/>
      <w:pPr>
        <w:ind w:left="2880" w:hanging="360"/>
      </w:pPr>
    </w:lvl>
    <w:lvl w:ilvl="4" w:tplc="17296272" w:tentative="1">
      <w:start w:val="1"/>
      <w:numFmt w:val="lowerLetter"/>
      <w:lvlText w:val="%5."/>
      <w:lvlJc w:val="left"/>
      <w:pPr>
        <w:ind w:left="3600" w:hanging="360"/>
      </w:pPr>
    </w:lvl>
    <w:lvl w:ilvl="5" w:tplc="17296272" w:tentative="1">
      <w:start w:val="1"/>
      <w:numFmt w:val="lowerRoman"/>
      <w:lvlText w:val="%6."/>
      <w:lvlJc w:val="right"/>
      <w:pPr>
        <w:ind w:left="4320" w:hanging="180"/>
      </w:pPr>
    </w:lvl>
    <w:lvl w:ilvl="6" w:tplc="17296272" w:tentative="1">
      <w:start w:val="1"/>
      <w:numFmt w:val="decimal"/>
      <w:lvlText w:val="%7."/>
      <w:lvlJc w:val="left"/>
      <w:pPr>
        <w:ind w:left="5040" w:hanging="360"/>
      </w:pPr>
    </w:lvl>
    <w:lvl w:ilvl="7" w:tplc="17296272" w:tentative="1">
      <w:start w:val="1"/>
      <w:numFmt w:val="lowerLetter"/>
      <w:lvlText w:val="%8."/>
      <w:lvlJc w:val="left"/>
      <w:pPr>
        <w:ind w:left="5760" w:hanging="360"/>
      </w:pPr>
    </w:lvl>
    <w:lvl w:ilvl="8" w:tplc="17296272" w:tentative="1">
      <w:start w:val="1"/>
      <w:numFmt w:val="lowerRoman"/>
      <w:lvlText w:val="%9."/>
      <w:lvlJc w:val="right"/>
      <w:pPr>
        <w:ind w:left="6480" w:hanging="180"/>
      </w:pPr>
    </w:lvl>
  </w:abstractNum>
  <w:abstractNum w:abstractNumId="18099">
    <w:multiLevelType w:val="hybridMultilevel"/>
    <w:lvl w:ilvl="0" w:tplc="920361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099">
    <w:abstractNumId w:val="18099"/>
  </w:num>
  <w:num w:numId="18100">
    <w:abstractNumId w:val="18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68049038" Type="http://schemas.openxmlformats.org/officeDocument/2006/relationships/comments" Target="comments.xml"/><Relationship Id="rId501611398" Type="http://schemas.microsoft.com/office/2011/relationships/commentsExtended" Target="commentsExtended.xml"/><Relationship Id="rId88577251" Type="http://schemas.openxmlformats.org/officeDocument/2006/relationships/image" Target="media/imgrId88577251.jpg"/><Relationship Id="rId9116690ba47dc1d4c" Type="http://schemas.openxmlformats.org/officeDocument/2006/relationships/hyperlink" Target="https://iservice.lombardini.it/jsp/Template2/manuale.jsp?id=203&amp;parent=1000" TargetMode="External"/><Relationship Id="rId2195690ba47d9eda9" Type="http://schemas.openxmlformats.org/officeDocument/2006/relationships/image" Target="media/imgrId2195690ba47d9eda9.jpg"/><Relationship Id="rId5003690ba47db4996" Type="http://schemas.openxmlformats.org/officeDocument/2006/relationships/image" Target="media/imgrId5003690ba47db4996.jpg"/><Relationship Id="rId1549690ba47db9488" Type="http://schemas.openxmlformats.org/officeDocument/2006/relationships/image" Target="media/imgrId1549690ba47db9488.jpg"/><Relationship Id="rId9355690ba47dc0f3c" Type="http://schemas.openxmlformats.org/officeDocument/2006/relationships/image" Target="media/imgrId9355690ba47dc0f3c.jpg"/><Relationship Id="rId9050690ba47dd1368" Type="http://schemas.openxmlformats.org/officeDocument/2006/relationships/image" Target="media/imgrId9050690ba47dd1368.png"/><Relationship Id="rId5991690ba47dd8d73" Type="http://schemas.openxmlformats.org/officeDocument/2006/relationships/image" Target="media/imgrId5991690ba47dd8d73.png"/><Relationship Id="rId5462690ba47debc03" Type="http://schemas.openxmlformats.org/officeDocument/2006/relationships/image" Target="media/imgrId5462690ba47debc03.png"/><Relationship Id="rId2378690ba47e0464a" Type="http://schemas.openxmlformats.org/officeDocument/2006/relationships/image" Target="media/imgrId2378690ba47e0464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8577251" Type="http://schemas.openxmlformats.org/officeDocument/2006/relationships/image" Target="media/imgrId8857725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