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Glosario</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 de uso y mantenimiento KDI 2504TCR / KDI 2504TCRE5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0385244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86278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586160" w:name="ctxt"/>
    <w:bookmarkEnd w:id="28586160"/>
    <w:p>
      <w:pPr>
        <w:widowControl w:val="on"/>
        <w:pBdr/>
        <w:spacing w:before="75" w:after="75" w:line="240" w:lineRule="auto"/>
        <w:ind w:left="75" w:right="75"/>
        <w:jc w:val="left"/>
      </w:pPr>
    </w:p>
    <w:p>
      <w:pPr>
        <w:pStyle w:val="Titolo1"/>
      </w:pPr>
      <w:r>
        <w:rPr/>
        <w:t xml:space="preserve">Glosario</w:t>
      </w:r>
    </w:p>
    <w:p>
      <w:pPr>
        <w:widowControl w:val="on"/>
        <w:pBdr/>
        <w:spacing w:before="0" w:after="0" w:line="240" w:lineRule="auto"/>
        <w:ind w:left="0" w:right="0"/>
        <w:jc w:val="left"/>
      </w:pPr>
    </w:p>
    <w:p>
      <w:pPr>
        <w:pStyle w:val="Titolo2"/>
      </w:pPr>
      <w:r>
        <w:rPr/>
        <w:t xml:space="preserve">Glosario</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Aceite gastado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Aceite alterado por el funcionamiento o por el tiempo, que ya no lubrica de manera correcta los componentes.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Alternador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Componente que transforma la energía mecánica en energía eléctrica con corriente alterna.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Apartado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Sistema postratamiento, referido a los gases de escape producidos por el motor.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Catalizador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Dispositivo que se ocupa de la depuración de los gases de descarga.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"Comunidad Europea".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Centralita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véase "ECU".</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Combustión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Reacción química de una mezcla compuesta por un combustible y un comburente (aire) dentro de una cámara de combustión.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"Conducto común", de alta presión que produce una reserva constante de combustible dirigida a los inyectores.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Condiciones pesadas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Tipo de condición límite referida al entorno de trabajo en el que el motor se usa (áreas con mucho polvo, sucias, o con atmósfera contaminada por diferentes gases).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Diámetro interior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Diámetro interior del cilindro en los motores de explosión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Catalizador para motores diésel, es un reductor de las emisiones nocivas de los gases de escape producidos por el motor.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Filtro de partículas diésel, es un filtro que sirve para capturar las partículas de carbono emitidas por los motores diésel.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 - Sistema de control de las emisiones.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 Unidad de control electrónico", dispositivo electrónico que constata y controla electrónicamente otros dispositivos con mando electrónico.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Enfriamiento de los gases de descarga de recirculación, sistema que permite enfriar los gases recirculados (EGR) provenientes de la descarga, esto permite mantener constante la temperatura dentro del colector de aspiración, mejorando la combustión dentro de los cilindros y reducir todavía más los contaminantes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en los motores de combustión interna, sistema que permite la recirculación de los gases combustos a través de la reintroducción de los mismos en aspiración, permite reducir una parte de contaminantes presentes en los gases de descarga.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Electroinyector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Componente accionado electrónicamente, idóneo para inyectar chorros de combustible nebulizado dentro del cilindro.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Agencia para la protección del medio ambiente". Es la entidad estadounidense para la protección del medio ambiente, se ocupa de regular y controlar las emisiones contaminantes.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Válvula de mariposa de control electrónico, se controla desde el ECU mediante el pedal del acelerador, su función es determinante para la correcta regeneración del sistema ATS.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Figura.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Galvanizado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que se ha sometido al tratamiento protector de las superficies.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Elemento de refrigeración del aire en presión proveniente del turbo, situado entre la turbina y el colector de aspiración.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 - Inyección Directa Kohler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Mantenimiento periódico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Conjunto de acciones de mantenimiento con la sola finalidad de controlar o sustituir elementos en los plazos previstos, sin modificar o mejorar las funciones desarrolladas por el sistema, ni aumentar el valor, ni mejorar los rendimientos.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"Máximo".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Metil éster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 ésteres metílicos), mezcla producida mediante la conversión química de los aceites y de las grasas animales y/o vegetales, que sirve para la producción de biocombustible.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"Minutos".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"Mínimo".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"Modelo", (placa de identificación del motor) indica el modelo de motor.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Pequeño radiador que sirve para enfriar el aceite.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 de apriete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Término indicado para el apriete de los componentes roscados y está determinado mediante la unidad de medida del Nm.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Parafina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Sustancia grasa y sólida que se podría formar dentro del gasóleo.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Referencia.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(placa de identificación del motor) indica el "número de serie/matrícula" de identificación del motor.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(placa identificación motor) indica la versión motor.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Tabla.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Taller autorizado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Centro asistencia autorizado Kohler.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mide la temperatura y la presión absoluta dentro del colector de aspiración.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Turbocompresor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Dispositivo que comprime aire aspirado enviándolo al colector de aspiración, mediante una turbina.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V</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Válvula Waste-Gate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Dispositivo, con control directo o automático, sirve para limitar la presión de los gases de descarga dentro de la turbina.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SÍMBOLOS Y UNIDADES DE MEDIDA</w:t>
            </w:r>
          </w:p>
        </w:tc>
      </w:tr>
      <w:tr>
        <w:trPr>
          <w:trHeight w:val="0" w:hRule="atLeast"/>
        </w:trPr>
        <w:tc>
          <w:tcPr>
            <w:tcW w:w="0" w:type="auto"/>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SÍMBOLO</w:t>
            </w:r>
          </w:p>
        </w:tc>
        <w:tc>
          <w:tcPr>
            <w:tcW w:w="0" w:type="auto"/>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UNIDADES DE MEDIDA</w:t>
            </w:r>
          </w:p>
        </w:tc>
        <w:tc>
          <w:tcPr>
            <w:tcW w:w="0" w:type="auto"/>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DESCRIPCIÓN</w:t>
            </w:r>
          </w:p>
        </w:tc>
        <w:tc>
          <w:tcPr>
            <w:tcW w:w="0" w:type="auto"/>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EJEMPLO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α</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Ángulo de rotación/inclinación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cm </w:t>
            </w:r>
            <w:r>
              <w:rPr>
                <w:color w:val="00274C"/>
                <w:position w:val="3"/>
                <w:sz w:val="17"/>
                <w:szCs w:val="17"/>
                <w:u w:val="none"/>
                <w:vertAlign w:val="superscript"/>
                <w:vertAlign w:val="superscript"/>
              </w:rPr>
              <w:t xml:space="preserve">2</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centímetro cuadrado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Área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cm </w:t>
            </w:r>
            <w:r>
              <w:rPr>
                <w:color w:val="00274C"/>
                <w:position w:val="3"/>
                <w:sz w:val="17"/>
                <w:szCs w:val="17"/>
                <w:u w:val="none"/>
                <w:vertAlign w:val="superscript"/>
                <w:vertAlign w:val="superscript"/>
              </w:rPr>
              <w:t xml:space="preserve">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Ø</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milímetro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Circunferencia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Ø 1 mm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newton-metro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milímetro</w:t>
            </w:r>
          </w:p>
        </w:tc>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Longitud</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mm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µm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1/1000 de milímetro (micrón)</w:t>
            </w:r>
          </w:p>
        </w:tc>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µm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hora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Tiempo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g/kWh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gramo por kilovatio a la hora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Consumo Específico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g/kWh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kg/h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kilogramo por hora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Caudal Max.</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kg/h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Lt./min.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liitros por minuto</w:t>
            </w:r>
          </w:p>
        </w:tc>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Caudal</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Lt./min.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Lt./h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litros por hora</w:t>
            </w:r>
          </w:p>
        </w:tc>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Lt./h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ppm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partes por millón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Porcentaje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ppm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newton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Fuerza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Amperios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Intensidad de la corriente eléctrica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gramo</w:t>
            </w:r>
          </w:p>
        </w:tc>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Peso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gr.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kilogramo</w:t>
            </w:r>
          </w:p>
        </w:tc>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kg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Vatio</w:t>
            </w:r>
          </w:p>
        </w:tc>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Potencia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W.</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kW</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kilovatios</w:t>
            </w:r>
          </w:p>
        </w:tc>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kW</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pascal</w:t>
            </w:r>
          </w:p>
        </w:tc>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Presión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pa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KPa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kilopascal</w:t>
            </w:r>
          </w:p>
        </w:tc>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KPa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bar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presión barométrica</w:t>
            </w:r>
          </w:p>
        </w:tc>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bar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mbar (1/1000 bar)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presión barométrica</w:t>
            </w:r>
          </w:p>
        </w:tc>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mbar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Resistencia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Resistencia a la corriente eléctrica (referido a un componente)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Ω</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Ω</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ohm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Resistencia de la corriente eléctrica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Ω</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Rpm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revoluciones por minuto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Rotación de un eje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Rpm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rugosidad media expresada en micrón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Rugosidad</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Ra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grado centrígado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Temperatura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Voltio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Tensión eléctrica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V</w:t>
            </w:r>
          </w:p>
        </w:tc>
      </w:tr>
      <w:tr>
        <w:trPr>
          <w:trHeight w:val="0" w:hRule="atLeast"/>
        </w:trPr>
        <w:tc>
          <w:tcPr>
            <w:tcW w:w="0" w:type="auto"/>
            <w:tcMar>
              <w:top w:w="150" w:type="dxa"/>
              <w:left w:w="150" w:type="dxa"/>
              <w:bottom w:w="150" w:type="dxa"/>
              <w:right w:w="150" w:type="dxa"/>
            </w:tcMar>
            <w:vAlign w:val="center"/>
          </w:tcPr>
          <w:p>
            <w:r>
              <w:rPr>
                <w:position w:val="1"/>
              </w:rPr>
              <w:drawing>
                <wp:inline distT="0" distB="0" distL="0" distR="0">
                  <wp:extent cx="64800" cy="72000"/>
                  <wp:effectExtent b="0" l="0" r="0" t="0"/>
                  <wp:docPr id="98025765" name="name9047691e124d2195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304691e124d2195a" cstate="print"/>
                          <a:stretch>
                            <a:fillRect/>
                          </a:stretch>
                        </pic:blipFill>
                        <pic:spPr>
                          <a:xfrm>
                            <a:off x="0" y="0"/>
                            <a:ext cx="64800" cy="720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milímetro</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Cabeza de tornillo hexagonal</w:t>
            </w:r>
          </w:p>
        </w:tc>
        <w:tc>
          <w:tcPr>
            <w:tcW w:w="0" w:type="auto"/>
            <w:tcMar>
              <w:top w:w="150" w:type="dxa"/>
              <w:left w:w="150" w:type="dxa"/>
              <w:bottom w:w="150" w:type="dxa"/>
              <w:right w:w="150" w:type="dxa"/>
            </w:tcMar>
            <w:vAlign w:val="center"/>
          </w:tcPr>
          <w:p>
            <w:r>
              <w:rPr>
                <w:position w:val="1"/>
              </w:rPr>
              <w:drawing>
                <wp:inline distT="0" distB="0" distL="0" distR="0">
                  <wp:extent cx="64800" cy="72000"/>
                  <wp:effectExtent b="0" l="0" r="0" t="0"/>
                  <wp:docPr id="8434044" name="name5367691e124d28aec"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763691e124d28ae9"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rPr>
              <w:t xml:space="preserve"> 1 mm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cm </w:t>
            </w:r>
            <w:r>
              <w:rPr>
                <w:color w:val="00274C"/>
                <w:position w:val="3"/>
                <w:sz w:val="17"/>
                <w:szCs w:val="17"/>
                <w:u w:val="none"/>
                <w:vertAlign w:val="superscript"/>
                <w:vertAlign w:val="superscript"/>
              </w:rPr>
              <w:t xml:space="preserve">3</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centímetro cúbico</w:t>
            </w:r>
          </w:p>
        </w:tc>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Volumen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cm </w:t>
            </w:r>
            <w:r>
              <w:rPr>
                <w:color w:val="00274C"/>
                <w:position w:val="3"/>
                <w:sz w:val="17"/>
                <w:szCs w:val="17"/>
                <w:u w:val="none"/>
                <w:vertAlign w:val="superscript"/>
                <w:vertAlign w:val="superscript"/>
              </w:rPr>
              <w:t xml:space="preserve">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Lt.</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litro</w:t>
            </w:r>
          </w:p>
        </w:tc>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es</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es</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es</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es</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396">
    <w:multiLevelType w:val="hybridMultilevel"/>
    <w:lvl w:ilvl="0" w:tplc="23194930">
      <w:start w:val="1"/>
      <w:numFmt w:val="decimal"/>
      <w:lvlText w:val="%1."/>
      <w:lvlJc w:val="left"/>
      <w:pPr>
        <w:ind w:left="720" w:hanging="360"/>
      </w:pPr>
    </w:lvl>
    <w:lvl w:ilvl="1" w:tplc="23194930" w:tentative="1">
      <w:start w:val="1"/>
      <w:numFmt w:val="lowerLetter"/>
      <w:lvlText w:val="%2."/>
      <w:lvlJc w:val="left"/>
      <w:pPr>
        <w:ind w:left="1440" w:hanging="360"/>
      </w:pPr>
    </w:lvl>
    <w:lvl w:ilvl="2" w:tplc="23194930" w:tentative="1">
      <w:start w:val="1"/>
      <w:numFmt w:val="lowerRoman"/>
      <w:lvlText w:val="%3."/>
      <w:lvlJc w:val="right"/>
      <w:pPr>
        <w:ind w:left="2160" w:hanging="180"/>
      </w:pPr>
    </w:lvl>
    <w:lvl w:ilvl="3" w:tplc="23194930" w:tentative="1">
      <w:start w:val="1"/>
      <w:numFmt w:val="decimal"/>
      <w:lvlText w:val="%4."/>
      <w:lvlJc w:val="left"/>
      <w:pPr>
        <w:ind w:left="2880" w:hanging="360"/>
      </w:pPr>
    </w:lvl>
    <w:lvl w:ilvl="4" w:tplc="23194930" w:tentative="1">
      <w:start w:val="1"/>
      <w:numFmt w:val="lowerLetter"/>
      <w:lvlText w:val="%5."/>
      <w:lvlJc w:val="left"/>
      <w:pPr>
        <w:ind w:left="3600" w:hanging="360"/>
      </w:pPr>
    </w:lvl>
    <w:lvl w:ilvl="5" w:tplc="23194930" w:tentative="1">
      <w:start w:val="1"/>
      <w:numFmt w:val="lowerRoman"/>
      <w:lvlText w:val="%6."/>
      <w:lvlJc w:val="right"/>
      <w:pPr>
        <w:ind w:left="4320" w:hanging="180"/>
      </w:pPr>
    </w:lvl>
    <w:lvl w:ilvl="6" w:tplc="23194930" w:tentative="1">
      <w:start w:val="1"/>
      <w:numFmt w:val="decimal"/>
      <w:lvlText w:val="%7."/>
      <w:lvlJc w:val="left"/>
      <w:pPr>
        <w:ind w:left="5040" w:hanging="360"/>
      </w:pPr>
    </w:lvl>
    <w:lvl w:ilvl="7" w:tplc="23194930" w:tentative="1">
      <w:start w:val="1"/>
      <w:numFmt w:val="lowerLetter"/>
      <w:lvlText w:val="%8."/>
      <w:lvlJc w:val="left"/>
      <w:pPr>
        <w:ind w:left="5760" w:hanging="360"/>
      </w:pPr>
    </w:lvl>
    <w:lvl w:ilvl="8" w:tplc="23194930" w:tentative="1">
      <w:start w:val="1"/>
      <w:numFmt w:val="lowerRoman"/>
      <w:lvlText w:val="%9."/>
      <w:lvlJc w:val="right"/>
      <w:pPr>
        <w:ind w:left="6480" w:hanging="180"/>
      </w:pPr>
    </w:lvl>
  </w:abstractNum>
  <w:abstractNum w:abstractNumId="6395">
    <w:multiLevelType w:val="hybridMultilevel"/>
    <w:lvl w:ilvl="0" w:tplc="596183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395">
    <w:abstractNumId w:val="6395"/>
  </w:num>
  <w:num w:numId="6396">
    <w:abstractNumId w:val="63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3423310" Type="http://schemas.openxmlformats.org/officeDocument/2006/relationships/comments" Target="comments.xml"/><Relationship Id="rId319153397" Type="http://schemas.microsoft.com/office/2011/relationships/commentsExtended" Target="commentsExtended.xml"/><Relationship Id="rId35862787" Type="http://schemas.openxmlformats.org/officeDocument/2006/relationships/image" Target="media/imgrId35862787.jpg"/><Relationship Id="rId8304691e124d2195a" Type="http://schemas.openxmlformats.org/officeDocument/2006/relationships/image" Target="media/imgrId8304691e124d2195a.png"/><Relationship Id="rId9763691e124d28ae9" Type="http://schemas.openxmlformats.org/officeDocument/2006/relationships/image" Target="media/imgrId9763691e124d28ae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5862787" Type="http://schemas.openxmlformats.org/officeDocument/2006/relationships/image" Target="media/imgrId3586278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5862787" Type="http://schemas.openxmlformats.org/officeDocument/2006/relationships/image" Target="media/imgrId3586278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5862787" Type="http://schemas.openxmlformats.org/officeDocument/2006/relationships/image" Target="media/imgrId3586278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5862787" Type="http://schemas.openxmlformats.org/officeDocument/2006/relationships/image" Target="media/imgrId3586278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5862787" Type="http://schemas.openxmlformats.org/officeDocument/2006/relationships/image" Target="media/imgrId3586278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5862787" Type="http://schemas.openxmlformats.org/officeDocument/2006/relationships/image" Target="media/imgrId3586278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