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Informations techniques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Manuel utilisation et entretien KDI-TCP 3404 E5 (REV. 01.2)</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6096000" cy="6096000"/>
            <wp:effectExtent l="0" t="95250" r="0" b="0"/>
            <wp:docPr id="318474804"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39112326" cstate="print"/>
                    <a:stretch>
                      <a:fillRect/>
                    </a:stretch>
                  </pic:blipFill>
                  <pic:spPr>
                    <a:xfrm>
                      <a:off x="0" y="0"/>
                      <a:ext cx="6096000" cy="609600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
      </w:r>
    </w:p>
    <w:p>
      <w:pPr>
        <w:pStyle w:val="Normale"/>
        <w:jc w:val="center"/>
        <w:rPr/>
      </w:pPr>
      <w:r>
        <w:rPr/>
        <w:t xml:space="preserve"/>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
      </w:r>
    </w:p>
    <w:p>
      <w:pPr>
        <w:pStyle w:val="Normale"/>
        <w:jc w:val="center"/>
        <w:rPr/>
      </w:pPr>
      <w:r>
        <w:rPr/>
        <w:t xml:space="preserve"/>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6425302" w:name="ctxt"/>
    <w:bookmarkEnd w:id="26425302"/>
    <w:p>
      <w:pPr>
        <w:widowControl w:val="on"/>
        <w:pBdr/>
        <w:spacing w:before="75" w:after="75" w:line="240" w:lineRule="auto"/>
        <w:ind w:left="75" w:right="75"/>
        <w:jc w:val="left"/>
      </w:pPr>
    </w:p>
    <w:p>
      <w:pPr>
        <w:pStyle w:val="Titolo1"/>
      </w:pPr>
      <w:r>
        <w:rPr/>
        <w:t xml:space="preserve">Informations techniques</w:t>
      </w:r>
    </w:p>
    <w:p>
      <w:pPr>
        <w:widowControl w:val="on"/>
        <w:pBdr/>
        <w:spacing w:before="0" w:after="0" w:line="240" w:lineRule="auto"/>
        <w:ind w:left="0" w:right="0"/>
        <w:jc w:val="left"/>
      </w:pPr>
    </w:p>
    <w:p>
      <w:pPr>
        <w:pStyle w:val="Titolo2"/>
      </w:pPr>
      <w:r>
        <w:rPr/>
        <w:t xml:space="preserve">Description générale du moteur</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Diesel 4 temps avec cylindres en ligne; - Refroidissement par liquide;</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soupapes par cylindre avec poussoirs hydrauliques;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Turbocompresseur avec soupape Waste-gate;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Injection directe common rail.</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Données techniques du moteur</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CARACTÉRISTIQUES TECHNIQUES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UNITÉ DE MESURE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53"/>
                    </w:rPr>
                    <w:drawing>
                      <wp:inline distT="0" distB="0" distL="0" distR="0">
                        <wp:extent cx="1080000" cy="741600"/>
                        <wp:effectExtent b="0" l="0" r="0" t="0"/>
                        <wp:docPr id="40191448" name="name34876925e9e96217c" descr="Cap2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2_01.png"/>
                                <pic:cNvPicPr/>
                              </pic:nvPicPr>
                              <pic:blipFill>
                                <a:blip r:embed="rId87286925e9e962179" cstate="print"/>
                                <a:stretch>
                                  <a:fillRect/>
                                </a:stretch>
                              </pic:blipFill>
                              <pic:spPr>
                                <a:xfrm>
                                  <a:off x="0" y="0"/>
                                  <a:ext cx="1080000" cy="741600"/>
                                </a:xfrm>
                                <a:prstGeom prst="rect">
                                  <a:avLst/>
                                </a:prstGeom>
                                <a:ln w="0">
                                  <a:noFill/>
                                </a:ln>
                              </pic:spPr>
                            </pic:pic>
                          </a:graphicData>
                        </a:graphic>
                      </wp:inline>
                    </w:drawing>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MODÈLE DU MOTEUR</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KDI-TCP 3404 E5</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CYLINDRES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ALÉSAGE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COURSE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CYLINDRÉE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INCLINAISON MAXIMALE PENDANT LE FONCTIONNEMENT (même en combiné)</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63442956" w:name="result_box"/>
                <w:bookmarkEnd w:id="63442956"/>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26346452" w:name="result_box"/>
                <w:bookmarkEnd w:id="26346452"/>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CAPACITÉ HUILE (niveau MAX.) avec filtre à huile monté</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version standard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POIDS À SEC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Huile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4859261" name="name13836925e9e969311"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3166925e9e96930d"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3346"/>
        </w:numPr>
        <w:spacing w:before="0" w:after="0" w:line="240" w:lineRule="auto"/>
        <w:jc w:val="left"/>
        <w:rPr>
          <w:color w:val="00274C"/>
          <w:sz w:val="20"/>
          <w:szCs w:val="20"/>
        </w:rPr>
      </w:pPr>
      <w:r>
        <w:rPr>
          <w:color w:val="00274C"/>
          <w:sz w:val="20"/>
          <w:szCs w:val="20"/>
          <w:u w:val="none"/>
        </w:rPr>
        <w:t xml:space="preserve">Le moteur peut s'endommager si on le fait fonctionner avec un niveau d'huile incorrect.</w:t>
      </w:r>
    </w:p>
    <w:p>
      <w:pPr>
        <w:numPr>
          <w:ilvl w:val="0"/>
          <w:numId w:val="3346"/>
        </w:numPr>
        <w:spacing w:before="0" w:after="0" w:line="240" w:lineRule="auto"/>
        <w:jc w:val="left"/>
        <w:rPr>
          <w:color w:val="00274C"/>
          <w:sz w:val="20"/>
          <w:szCs w:val="20"/>
        </w:rPr>
      </w:pPr>
      <w:r>
        <w:rPr>
          <w:color w:val="00274C"/>
          <w:sz w:val="20"/>
          <w:szCs w:val="20"/>
          <w:u w:val="none"/>
        </w:rPr>
        <w:t xml:space="preserve">Ne pas dépasser le niveau MAX. car sa combustion peut provoquer une brusque augmentation de la vitesse de rotation.</w:t>
      </w:r>
    </w:p>
    <w:p>
      <w:pPr>
        <w:numPr>
          <w:ilvl w:val="0"/>
          <w:numId w:val="3346"/>
        </w:numPr>
        <w:spacing w:before="0" w:after="0" w:line="240" w:lineRule="auto"/>
        <w:jc w:val="left"/>
        <w:rPr>
          <w:color w:val="00274C"/>
          <w:sz w:val="20"/>
          <w:szCs w:val="20"/>
        </w:rPr>
      </w:pPr>
      <w:r>
        <w:rPr>
          <w:color w:val="00274C"/>
          <w:sz w:val="20"/>
          <w:szCs w:val="20"/>
          <w:u w:val="none"/>
        </w:rPr>
        <w:t xml:space="preserve">N'utiliser que l'huile prescrite afin de garantir une protection adéquate, l'efficacité et la durée du moteur.</w:t>
      </w:r>
    </w:p>
    <w:p>
      <w:pPr>
        <w:numPr>
          <w:ilvl w:val="0"/>
          <w:numId w:val="3346"/>
        </w:numPr>
        <w:spacing w:before="0" w:after="0" w:line="240" w:lineRule="auto"/>
        <w:jc w:val="left"/>
        <w:rPr>
          <w:color w:val="00274C"/>
          <w:sz w:val="20"/>
          <w:szCs w:val="20"/>
        </w:rPr>
      </w:pPr>
      <w:r>
        <w:rPr>
          <w:color w:val="00274C"/>
          <w:sz w:val="20"/>
          <w:szCs w:val="20"/>
          <w:u w:val="none"/>
        </w:rPr>
        <w:t xml:space="preserve">En cas d'utilisation d'une huile ayant une qualité inférieure à celle prescrite, la durée du moteur sera considérablement compromise.</w:t>
      </w:r>
    </w:p>
    <w:p>
      <w:pPr>
        <w:numPr>
          <w:ilvl w:val="0"/>
          <w:numId w:val="3346"/>
        </w:numPr>
        <w:spacing w:before="0" w:after="0" w:line="240" w:lineRule="auto"/>
        <w:jc w:val="left"/>
        <w:rPr>
          <w:color w:val="00274C"/>
          <w:sz w:val="20"/>
          <w:szCs w:val="20"/>
        </w:rPr>
      </w:pPr>
      <w:r>
        <w:rPr>
          <w:color w:val="00274C"/>
          <w:sz w:val="20"/>
          <w:szCs w:val="20"/>
          <w:u w:val="none"/>
        </w:rPr>
        <w:t xml:space="preserve">La viscosité de l'huile doit être adaptée à la température ambiante à laquelle le moteur fonctionne.</w:t>
      </w:r>
    </w:p>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1410466" name="name72546925e9e96e2ca"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9816925e9e96e2c6"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3346"/>
        </w:numPr>
        <w:spacing w:before="0" w:after="0" w:line="240" w:lineRule="auto"/>
        <w:jc w:val="left"/>
        <w:rPr>
          <w:color w:val="00274C"/>
          <w:sz w:val="20"/>
          <w:szCs w:val="20"/>
        </w:rPr>
      </w:pPr>
      <w:r>
        <w:rPr>
          <w:color w:val="00274C"/>
          <w:sz w:val="20"/>
          <w:szCs w:val="20"/>
          <w:u w:val="none"/>
        </w:rPr>
        <w:t xml:space="preserve">Le contact prolongé de la peau avec de l'huile de moteur usée peut entraîner un cancer de la peau.</w:t>
      </w:r>
    </w:p>
    <w:p>
      <w:pPr>
        <w:numPr>
          <w:ilvl w:val="0"/>
          <w:numId w:val="3346"/>
        </w:numPr>
        <w:spacing w:before="0" w:after="0" w:line="240" w:lineRule="auto"/>
        <w:jc w:val="left"/>
        <w:rPr>
          <w:color w:val="00274C"/>
          <w:sz w:val="20"/>
          <w:szCs w:val="20"/>
        </w:rPr>
      </w:pPr>
      <w:r>
        <w:rPr>
          <w:color w:val="00274C"/>
          <w:sz w:val="20"/>
          <w:szCs w:val="20"/>
          <w:u w:val="none"/>
        </w:rPr>
        <w:t xml:space="preserve">Si le contact avec l'huile est inévitable, se laver soigneusement les mains avec de l'eau et du savon dès que possible.</w:t>
      </w:r>
    </w:p>
    <w:p>
      <w:pPr>
        <w:numPr>
          <w:ilvl w:val="0"/>
          <w:numId w:val="3346"/>
        </w:numPr>
        <w:spacing w:before="0" w:after="0" w:line="240" w:lineRule="auto"/>
        <w:jc w:val="left"/>
        <w:rPr>
          <w:color w:val="00274C"/>
          <w:sz w:val="20"/>
          <w:szCs w:val="20"/>
        </w:rPr>
      </w:pPr>
      <w:r>
        <w:rPr>
          <w:color w:val="00274C"/>
          <w:sz w:val="20"/>
          <w:szCs w:val="20"/>
          <w:u w:val="none"/>
        </w:rPr>
        <w:t xml:space="preserve">Pour l'élimination de l'huile usée, se référer au </w:t>
      </w:r>
      <w:r>
        <w:rPr>
          <w:b/>
          <w:bCs/>
          <w:color w:val="00274C"/>
          <w:sz w:val="20"/>
          <w:szCs w:val="20"/>
          <w:u w:val="none"/>
        </w:rPr>
        <w:t xml:space="preserve">Par. DÉMANTÈLEMENT ET DESTRUCTION</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Classification de l'huile SAE</w:t>
      </w:r>
    </w:p>
    <w:p>
      <w:pPr>
        <w:numPr>
          <w:ilvl w:val="0"/>
          <w:numId w:val="3346"/>
        </w:numPr>
        <w:spacing w:before="0" w:after="0" w:line="240" w:lineRule="auto"/>
        <w:jc w:val="left"/>
        <w:rPr>
          <w:color w:val="00274C"/>
          <w:sz w:val="20"/>
          <w:szCs w:val="20"/>
        </w:rPr>
      </w:pPr>
      <w:r>
        <w:rPr>
          <w:color w:val="00274C"/>
          <w:sz w:val="20"/>
          <w:szCs w:val="20"/>
          <w:u w:val="none"/>
        </w:rPr>
        <w:t xml:space="preserve">Elle identifie les huiles en fonction de la viscosité, sans tenir compte d’aucune autre caractéristique qualitative.</w:t>
      </w:r>
    </w:p>
    <w:p>
      <w:pPr>
        <w:numPr>
          <w:ilvl w:val="0"/>
          <w:numId w:val="3346"/>
        </w:numPr>
        <w:spacing w:before="0" w:after="0" w:line="240" w:lineRule="auto"/>
        <w:jc w:val="left"/>
        <w:rPr>
          <w:color w:val="00274C"/>
          <w:sz w:val="20"/>
          <w:szCs w:val="20"/>
        </w:rPr>
      </w:pPr>
      <w:r>
        <w:rPr>
          <w:color w:val="00274C"/>
          <w:sz w:val="20"/>
          <w:szCs w:val="20"/>
          <w:u w:val="none"/>
        </w:rPr>
        <w:t xml:space="preserve">Le code est composé de deux numéros qui indiquent et doivent correspondre à la température ambiante à laquelle le moteur fonctionne, avec l'interposition d'un « </w:t>
      </w:r>
      <w:r>
        <w:rPr>
          <w:b/>
          <w:bCs/>
          <w:color w:val="00274C"/>
          <w:sz w:val="20"/>
          <w:szCs w:val="20"/>
          <w:u w:val="none"/>
        </w:rPr>
        <w:t xml:space="preserve">W</w:t>
      </w:r>
      <w:r>
        <w:rPr>
          <w:color w:val="00274C"/>
          <w:sz w:val="20"/>
          <w:szCs w:val="20"/>
          <w:u w:val="none"/>
        </w:rPr>
        <w:t xml:space="preserve"> », où le premier chiffre détermine la valeur en condition de températures très froides, alors que le deuxième détermine la valeur en condition de températures élevées.</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HUILE PRESCRIT</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AVEC SPECIFICATIONS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VISCOSITÉ</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numPr>
          <w:ilvl w:val="0"/>
          <w:numId w:val="3346"/>
        </w:numPr>
        <w:spacing w:before="0" w:after="0" w:line="240" w:lineRule="auto"/>
        <w:jc w:val="left"/>
        <w:rPr>
          <w:color w:val="00274C"/>
          <w:sz w:val="20"/>
          <w:szCs w:val="20"/>
        </w:rPr>
      </w:pPr>
      <w:r>
        <w:rPr>
          <w:color w:val="00274C"/>
          <w:sz w:val="20"/>
          <w:szCs w:val="20"/>
          <w:u w:val="none"/>
        </w:rPr>
        <w:t xml:space="preserve">La technologie Low S.AP.S. (huile présentant une faible teneur en cendres sulfatées, en phosphore et en soufre), maintient le catalyseur en bonnes conditions de fonctionnement. La présence de cendres sulfatées, de phosphore et de soufre entraîne au fil du temps un colmatage du catalyseur et donc son manque d’efficacité.</w:t>
      </w:r>
    </w:p>
    <w:p>
      <w:pPr>
        <w:numPr>
          <w:ilvl w:val="0"/>
          <w:numId w:val="3346"/>
        </w:numPr>
        <w:spacing w:before="0" w:after="0" w:line="240" w:lineRule="auto"/>
        <w:jc w:val="left"/>
        <w:rPr>
          <w:color w:val="00274C"/>
          <w:sz w:val="20"/>
          <w:szCs w:val="20"/>
        </w:rPr>
      </w:pPr>
      <w:r>
        <w:rPr>
          <w:color w:val="00274C"/>
          <w:sz w:val="20"/>
          <w:szCs w:val="20"/>
          <w:u w:val="none"/>
        </w:rPr>
        <w:t xml:space="preserve">Pour la séquence d’huile Mid S.A.P.S, le niveau de cendres sulfatées est identique à l'API CJ-4 ≤ 1,0 %, mais conformément à la normalisation ACEA, ces huiles sont référencées sous Mid SAPS.</w:t>
      </w:r>
    </w:p>
    <w:p>
      <w:pPr>
        <w:numPr>
          <w:ilvl w:val="0"/>
          <w:numId w:val="3346"/>
        </w:numPr>
        <w:spacing w:before="0" w:after="0" w:line="240" w:lineRule="auto"/>
        <w:jc w:val="left"/>
        <w:rPr>
          <w:color w:val="00274C"/>
          <w:sz w:val="20"/>
          <w:szCs w:val="20"/>
        </w:rPr>
      </w:pPr>
      <w:r>
        <w:rPr>
          <w:color w:val="00274C"/>
          <w:sz w:val="20"/>
          <w:szCs w:val="20"/>
          <w:u w:val="none"/>
        </w:rPr>
        <w:t xml:space="preserve">La filtration de l’huile est essentielle au fonctionnement et à la lubrification corrects ; toujours remplacer régulièrement les filtres comme spécifié dans ce manuel.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w:t>
      </w:r>
      <w:r>
        <w:rPr>
          <w:b/>
          <w:bCs/>
          <w:color w:val="00274C"/>
          <w:sz w:val="20"/>
          <w:szCs w:val="20"/>
          <w:u w:val="none"/>
        </w:rPr>
        <w:t xml:space="preserve">-</w:t>
      </w:r>
      <w:r>
        <w:rPr>
          <w:b/>
          <w:bCs/>
          <w:color w:val="00274C"/>
          <w:sz w:val="20"/>
          <w:szCs w:val="20"/>
          <w:u w:val="none"/>
        </w:rPr>
        <w:t xml:space="preserve"> REMARQUE</w:t>
      </w:r>
      <w:r>
        <w:rPr>
          <w:color w:val="00274C"/>
          <w:sz w:val="20"/>
          <w:szCs w:val="20"/>
          <w:u w:val="none"/>
        </w:rPr>
        <w:t xml:space="preserve"> : NE PAS utiliser de carburant dont la teneur en soufre est supérieure à 15 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Sur tous les moteurs conformes aux normes sur les émissions Stage-V (moteurs pourvus du dispositif DPF), l’huile utilisée doit être obligatoirement conforme à la spécification API CJ-4 Low S.A.P.S ou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b/>
          <w:bCs/>
          <w:color w:val="00274C"/>
          <w:sz w:val="20"/>
          <w:szCs w:val="20"/>
          <w:u w:val="none"/>
        </w:rPr>
        <w:t xml:space="preserve"> REMARQUE</w:t>
      </w:r>
      <w:r>
        <w:rPr>
          <w:color w:val="00274C"/>
          <w:sz w:val="20"/>
          <w:szCs w:val="20"/>
          <w:u w:val="none"/>
        </w:rPr>
        <w:t xml:space="preserve"> : NE PAS utiliser de carburant dont la teneur en soufre est supérieure à 500 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b/>
          <w:bCs/>
          <w:color w:val="00274C"/>
          <w:sz w:val="20"/>
          <w:szCs w:val="20"/>
          <w:u w:val="none"/>
        </w:rPr>
        <w:t xml:space="preserve"> REMARQUE</w:t>
      </w:r>
      <w:r>
        <w:rPr>
          <w:color w:val="00274C"/>
          <w:sz w:val="20"/>
          <w:szCs w:val="20"/>
          <w:u w:val="none"/>
        </w:rPr>
        <w:t xml:space="preserve"> : Les huiles « low SAPS », avec des cendres sulfatées 50 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Carburant</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72522121" name="name17596925e9e97b0b9"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41436925e9e97b0b6"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L’utilisation d’autres types de carburants pourrait endommager le moteur. Ne pas utiliser de carburant diesel sale ou des mélanges de carburant diesel et d’eau, cela pourrait entraîner de graves dysfonctionnements du moteur.</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Toute défaillance résultant de l’utilisation de carburants autres que ceux recommandée, ne sera pas prise en charge sous garantie.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67456747" name="name81446925e9e982b87"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15136925e9e982b84"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Avertissement</w:t>
            </w:r>
          </w:p>
          <w:p>
            <w:pPr>
              <w:numPr>
                <w:ilvl w:val="0"/>
                <w:numId w:val="3346"/>
              </w:numPr>
              <w:spacing w:before="0" w:after="0" w:line="262" w:lineRule="auto"/>
              <w:jc w:val="left"/>
              <w:rPr>
                <w:color w:val="00274C"/>
                <w:sz w:val="20"/>
                <w:szCs w:val="20"/>
              </w:rPr>
            </w:pPr>
            <w:r>
              <w:rPr>
                <w:color w:val="00274C"/>
                <w:position w:val="0"/>
                <w:sz w:val="20"/>
                <w:szCs w:val="20"/>
                <w:u w:val="none"/>
              </w:rPr>
              <w:t xml:space="preserve">Un carburant propre évite le colmatage des injecteurs de carburant. Nettoyer immédiatement tout déversement pendant le remplissage.</w:t>
            </w:r>
          </w:p>
          <w:p>
            <w:pPr>
              <w:numPr>
                <w:ilvl w:val="0"/>
                <w:numId w:val="3346"/>
              </w:numPr>
              <w:spacing w:before="0" w:after="0" w:line="262" w:lineRule="auto"/>
              <w:jc w:val="left"/>
              <w:rPr>
                <w:color w:val="00274C"/>
                <w:sz w:val="20"/>
                <w:szCs w:val="20"/>
              </w:rPr>
            </w:pPr>
            <w:r>
              <w:rPr>
                <w:color w:val="00274C"/>
                <w:position w:val="0"/>
                <w:sz w:val="20"/>
                <w:szCs w:val="20"/>
                <w:u w:val="none"/>
              </w:rPr>
              <w:t xml:space="preserve">Ne jamais stocker de carburant diesel dans des containers galvanisés (par ex. recouverts de zinc). Le carburant diesel et le revêtement galvanisés entraînent une réaction chimique entre eux, qui produit une floconnisation qui colmate rapidement les filtres ou entraîne une défaillance de la pompe à carburant et/ou de l’injecteur à carburant.</w:t>
            </w:r>
          </w:p>
          <w:p>
            <w:pPr>
              <w:numPr>
                <w:ilvl w:val="0"/>
                <w:numId w:val="3346"/>
              </w:numPr>
              <w:spacing w:before="0" w:after="0" w:line="262" w:lineRule="auto"/>
              <w:jc w:val="left"/>
              <w:rPr>
                <w:color w:val="00274C"/>
                <w:sz w:val="20"/>
                <w:szCs w:val="20"/>
              </w:rPr>
            </w:pPr>
            <w:r>
              <w:rPr>
                <w:color w:val="00274C"/>
                <w:position w:val="0"/>
                <w:sz w:val="20"/>
                <w:szCs w:val="20"/>
                <w:u w:val="none"/>
              </w:rPr>
              <w:t xml:space="preserve">Toute panne résultant de l'utilisation d'un carburant autre que </w:t>
            </w:r>
            <w:r>
              <w:rPr>
                <w:b/>
                <w:bCs/>
                <w:color w:val="00274C"/>
                <w:position w:val="0"/>
                <w:sz w:val="20"/>
                <w:szCs w:val="20"/>
                <w:u w:val="none"/>
              </w:rPr>
              <w:t xml:space="preserve">Tab. 2.3, 2.4</w:t>
            </w:r>
            <w:r>
              <w:rPr>
                <w:color w:val="00274C"/>
                <w:position w:val="0"/>
                <w:sz w:val="20"/>
                <w:szCs w:val="20"/>
                <w:u w:val="none"/>
              </w:rPr>
              <w:t xml:space="preserve"> ne seront pas couverts par la garantie.</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Indice de cétane de 40 minimum. Un indice de cétane supérieur à 47 est préférable, en particulier pour des températures inférieures à –20 °C (–4 °F) ou des altitudes supérieures à 1675 m (5500 pieds).</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pas de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Remarques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dans les régions connues pour la mauvaise qualité du lubrifiant du gasoil ou si le moteur est utilisé avec des carburéacteurs, le filtre primaire doit être capable de doser le lubrifiant. </w:t>
                  </w:r>
                  <w:r>
                    <w:rPr>
                      <w:color w:val="00274C"/>
                      <w:position w:val="-2"/>
                      <w:sz w:val="20"/>
                      <w:szCs w:val="20"/>
                      <w:u w:val="none"/>
                    </w:rPr>
                    <w:t xml:space="preserve"> </w:t>
                  </w:r>
                  <w:r>
                    <w:rPr>
                      <w:b/>
                      <w:bCs/>
                      <w:color w:val="00274C"/>
                      <w:position w:val="-2"/>
                      <w:sz w:val="20"/>
                      <w:szCs w:val="20"/>
                      <w:u w:val="none"/>
                    </w:rPr>
                    <w:t xml:space="preserve">Contactez Kohler pour plus d'informations sur le filtre approuvé à cet effet</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Type de carburant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N'UTILISEZ PAS les huiles végétales comme biocarburant non conforme à la norme EN 590.</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La puissance et le couple peuvent être inférieurs de 1 à 5 % en raison de la faible densité du carburant par rapport au gasoil standard.</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Carburant F-54 selon la dénomination militaire OTAN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Pour les températures ambiantes inférieures à 0°C (32°F) et en l'absence de carburant arctique disponible (Grade 1-D S15, Grade 2-D S15, ASTM D 975), utilisez les additifs suivants pour éviter un potentiel endommagement du moteur à faible charge par temps froid:</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Les additifs différents ne sont pas autorisés.</w:t>
                  </w:r>
                </w:p>
                <w:p>
                  <w:pPr>
                    <w:widowControl w:val="on"/>
                    <w:pBdr/>
                    <w:spacing w:before="0" w:after="0" w:line="262" w:lineRule="auto"/>
                    <w:ind w:left="0" w:right="0"/>
                    <w:jc w:val="left"/>
                    <w:textAlignment w:val="center"/>
                  </w:pPr>
                  <w:r>
                    <w:rPr>
                      <w:color w:val="00274C"/>
                      <w:position w:val="-2"/>
                      <w:sz w:val="20"/>
                      <w:szCs w:val="20"/>
                      <w:u w:val="none"/>
                    </w:rPr>
                    <w:t xml:space="preserve">L'utilisation d'additifs approuvés n'a aucune incidence sur le calendrier d'entretien du moteur.</w:t>
                  </w:r>
                </w:p>
                <w:p/>
                <w:p/>
                <w:p>
                  <w:pPr>
                    <w:widowControl w:val="on"/>
                    <w:pBdr/>
                    <w:spacing w:before="0" w:after="0" w:line="262" w:lineRule="auto"/>
                    <w:ind w:left="0" w:right="0"/>
                    <w:jc w:val="left"/>
                    <w:textAlignment w:val="center"/>
                  </w:pPr>
                  <w:r>
                    <w:rPr>
                      <w:color w:val="00274C"/>
                      <w:position w:val="-2"/>
                      <w:sz w:val="20"/>
                      <w:szCs w:val="20"/>
                      <w:u w:val="none"/>
                    </w:rPr>
                    <w:t xml:space="preserve">N'UTILISEZ PAS les huiles végétales comme biocarburant non conforme à la norme ASTM D975 Grade1 et Grade2.</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Carburant soufré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Carburant soufré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Carburant fortement soufré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(kérosène, dénomination OTAN)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Fonctionnement avec carburéacteurs</w:t>
                  </w:r>
                </w:p>
                <w:p/>
                <w:p/>
                <w:p>
                  <w:pPr>
                    <w:widowControl w:val="on"/>
                    <w:pBdr/>
                    <w:spacing w:before="0" w:after="0" w:line="262" w:lineRule="auto"/>
                    <w:ind w:left="0" w:right="0"/>
                    <w:jc w:val="left"/>
                    <w:textAlignment w:val="top"/>
                  </w:pPr>
                  <w:r>
                    <w:rPr>
                      <w:color w:val="00274C"/>
                      <w:position w:val="0"/>
                      <w:sz w:val="20"/>
                      <w:szCs w:val="20"/>
                      <w:u w:val="none"/>
                    </w:rPr>
                    <w:t xml:space="preserve">Les carburéacteurs peuvent être utilisés mais uniquement en adoptant un filtre carburant supplémentaire avec doseur de lubrifiant.</w:t>
                  </w:r>
                </w:p>
                <w:p>
                  <w:pPr>
                    <w:widowControl w:val="on"/>
                    <w:pBdr/>
                    <w:spacing w:before="0" w:after="0" w:line="262" w:lineRule="auto"/>
                    <w:ind w:left="0" w:right="0"/>
                    <w:jc w:val="left"/>
                    <w:textAlignment w:val="top"/>
                  </w:pPr>
                  <w:r>
                    <w:rPr>
                      <w:color w:val="00274C"/>
                      <w:position w:val="0"/>
                      <w:sz w:val="20"/>
                      <w:szCs w:val="20"/>
                      <w:u w:val="none"/>
                    </w:rPr>
                    <w:t xml:space="preserve">En raison d'une densité plus faible et d'une perte de carburant plus importante dues à une viscosité plus faible, selon le régime et le couple du moteur, une perte de puissance jusqu'à 10 % est possible.</w:t>
                  </w:r>
                </w:p>
                <w:p>
                  <w:pPr>
                    <w:widowControl w:val="on"/>
                    <w:pBdr/>
                    <w:spacing w:before="0" w:after="0" w:line="262" w:lineRule="auto"/>
                    <w:ind w:left="0" w:right="0"/>
                    <w:jc w:val="left"/>
                    <w:textAlignment w:val="top"/>
                  </w:pPr>
                  <w:r>
                    <w:rPr>
                      <w:color w:val="00274C"/>
                      <w:position w:val="0"/>
                      <w:sz w:val="20"/>
                      <w:szCs w:val="20"/>
                      <w:u w:val="none"/>
                    </w:rPr>
                    <w:t xml:space="preserve">Parmi les carburéacteurs répertoriés, certains présentent des propriétés problématiques (viscosité, pouvoir lubrifiant et faible point d'ébullition). Il faut s'attendre à une légère augmentation de l'usure du système d'injection, qui peut conduire à une réduction statistique de la durée de vie de ces composants. La teneur en soufre doit être inférieure à 2000 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(kérosène, dénomination OTAN)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(kérosène, dénomination OTAN, équivalent au F-34/F-35 avec additifs)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(kérosène, désignation militaire américaine)</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(kérosène, désignation militaire américaine)</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(kérosène pour l'aviation civile)</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(kérosène pour l'aviation civile)</w:t>
                  </w:r>
                </w:p>
                <w:p>
                  <w:pPr>
                    <w:widowControl w:val="on"/>
                    <w:pBdr/>
                    <w:spacing w:before="0" w:after="0" w:line="262" w:lineRule="auto"/>
                    <w:ind w:left="0" w:right="0"/>
                    <w:jc w:val="left"/>
                    <w:textAlignment w:val="center"/>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r>
          </w:tbl>
          <w:p/>
          <w:p/>
          <w:p/>
          <w:p>
            <w:pPr>
              <w:widowControl w:val="on"/>
              <w:pBdr/>
              <w:spacing w:before="0" w:after="0" w:line="262" w:lineRule="auto"/>
              <w:ind w:left="0" w:right="0"/>
              <w:jc w:val="left"/>
              <w:textAlignment w:val="center"/>
            </w:pPr>
            <w:r>
              <w:rPr>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b/>
                      <w:bCs/>
                      <w:color w:val="00274C"/>
                      <w:position w:val="-2"/>
                      <w:sz w:val="20"/>
                      <w:szCs w:val="20"/>
                      <w:u w:val="none"/>
                    </w:rPr>
                    <w:t xml:space="preserve">ADDITIFS POUR CARBURANT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center"/>
                  </w:pPr>
                  <w:r>
                    <w:rPr>
                      <w:b/>
                      <w:bCs/>
                      <w:color w:val="00274C"/>
                      <w:position w:val="0"/>
                      <w:sz w:val="20"/>
                      <w:szCs w:val="20"/>
                      <w:u w:val="none"/>
                    </w:rPr>
                    <w:t xml:space="preserve">Remarques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Les additifs pour carburant ayant des fonctions biocides/algicides sont autorisés uniquement en cas de stockage du carburant dans le réservoir pendant de longues périodes (un an ou plus).</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Pour connaître les marques et types suggérés, contactez le personnel de Kohler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Ces additifs doivent être dilués dans le carburant en respectant les pourcentages prescrits sur l’étiquette produit lors du remplissage du réservoir.</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Les additifs ayant une fonction autre que biocide/algicide ne sont pas autorisés.</w:t>
                  </w:r>
                </w:p>
              </w:tc>
              <w:tc>
                <w:tcPr>
                  <w:gridSpan w:val="1"/>
                  <w:vMerge w:val="continue"/>
                  <w:tcBorders>
                    <w:top w:val="single" w:color="CCCCCC" w:sz="5"/>
                    <w:left w:val="single" w:color="CCCCCC" w:sz="5"/>
                    <w:bottom w:val="single" w:color="CCCCCC" w:sz="5"/>
                    <w:right w:val="single" w:color="CCCCCC" w:sz="5"/>
                  </w:tcBorders>
                </w:tcP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DEF</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Mar>
              <w:top w:w="150" w:type="dxa"/>
              <w:left w:w="150" w:type="dxa"/>
              <w:bottom w:w="150" w:type="dxa"/>
              <w:right w:w="150" w:type="dxa"/>
            </w:tcMar>
            <w:vAlign w:val="center"/>
          </w:tcPr>
          <w:p>
            <w:pPr>
              <w:numPr>
                <w:ilvl w:val="0"/>
                <w:numId w:val="3348"/>
              </w:numPr>
              <w:spacing w:before="0" w:after="0" w:line="262" w:lineRule="auto"/>
              <w:jc w:val="left"/>
              <w:rPr>
                <w:color w:val="00274C"/>
                <w:sz w:val="20"/>
                <w:szCs w:val="20"/>
              </w:rPr>
            </w:pPr>
            <w:r>
              <w:rPr>
                <w:color w:val="00274C"/>
                <w:position w:val="-2"/>
                <w:sz w:val="20"/>
                <w:szCs w:val="20"/>
                <w:u w:val="none"/>
              </w:rPr>
              <w:t xml:space="preserve">Connu sous le nom de « AUS 32 » en Europe, « DEF » aux États-Unis ou « Urea Solution », il est enregistré avec la marque « AdBlue </w:t>
            </w:r>
            <w:r>
              <w:rPr>
                <w:color w:val="00274C"/>
                <w:position w:val="3"/>
                <w:sz w:val="17"/>
                <w:szCs w:val="17"/>
                <w:u w:val="none"/>
                <w:vertAlign w:val="superscript"/>
                <w:vertAlign w:val="superscript"/>
              </w:rPr>
              <w:t xml:space="preserve">®</w:t>
            </w:r>
            <w:r>
              <w:rPr>
                <w:color w:val="00274C"/>
                <w:position w:val="-2"/>
                <w:sz w:val="20"/>
                <w:szCs w:val="20"/>
                <w:u w:val="none"/>
              </w:rPr>
              <w:t xml:space="preserve"> » dans le Verband der Automobilindustrie (VDA - Union de l'industrie automobile) ; il doit être conforme aux normes ISO suivantes :</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ISO 22241-1 Quality requirements</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ISO 22241-2 Test Methods</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ISO 22241-3 Handling, transportation and Storing</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ISO 22241-4 Refilling Interface</w:t>
            </w:r>
          </w:p>
          <w:p>
            <w:pPr>
              <w:numPr>
                <w:ilvl w:val="0"/>
                <w:numId w:val="3349"/>
              </w:numPr>
              <w:spacing w:before="0" w:after="0" w:line="262" w:lineRule="auto"/>
              <w:jc w:val="left"/>
              <w:rPr>
                <w:color w:val="00274C"/>
                <w:sz w:val="20"/>
                <w:szCs w:val="20"/>
              </w:rPr>
            </w:pPr>
            <w:r>
              <w:rPr>
                <w:color w:val="00274C"/>
                <w:position w:val="-2"/>
                <w:sz w:val="20"/>
                <w:szCs w:val="20"/>
                <w:u w:val="none"/>
              </w:rPr>
              <w:t xml:space="preserve">Le remplissage du réservoir DEF doit être exécuté exclusivement à l’aide du pistolet automatique auprès des stations-service agréées ; veuillez consulter le manuel de la machine pour les opérations de ravitaillement.</w:t>
            </w:r>
          </w:p>
          <w:p>
            <w:pPr>
              <w:numPr>
                <w:ilvl w:val="0"/>
                <w:numId w:val="3349"/>
              </w:numPr>
              <w:spacing w:before="0" w:after="0" w:line="262" w:lineRule="auto"/>
              <w:jc w:val="left"/>
              <w:rPr>
                <w:color w:val="00274C"/>
                <w:sz w:val="20"/>
                <w:szCs w:val="20"/>
              </w:rPr>
            </w:pPr>
            <w:r>
              <w:rPr>
                <w:color w:val="00274C"/>
                <w:position w:val="-2"/>
                <w:sz w:val="20"/>
                <w:szCs w:val="20"/>
                <w:u w:val="none"/>
              </w:rPr>
              <w:t xml:space="preserve">Lors du ravitaillement, respecter le niveau de MAX présent sur le réservoir.</w:t>
            </w:r>
          </w:p>
          <w:p>
            <w:pPr>
              <w:numPr>
                <w:ilvl w:val="0"/>
                <w:numId w:val="3349"/>
              </w:numPr>
              <w:spacing w:before="0" w:after="0" w:line="262" w:lineRule="auto"/>
              <w:jc w:val="left"/>
              <w:rPr>
                <w:color w:val="00274C"/>
                <w:sz w:val="20"/>
                <w:szCs w:val="20"/>
              </w:rPr>
            </w:pPr>
            <w:r>
              <w:rPr>
                <w:color w:val="00274C"/>
                <w:position w:val="-2"/>
                <w:sz w:val="20"/>
                <w:szCs w:val="20"/>
                <w:u w:val="none"/>
              </w:rPr>
              <w:t xml:space="preserve">Pendant les opérations de ravitaillement, éviter toute entrée d’impuretés dans le réservoir.</w:t>
            </w:r>
          </w:p>
          <w:p>
            <w:pPr>
              <w:numPr>
                <w:ilvl w:val="0"/>
                <w:numId w:val="3349"/>
              </w:numPr>
              <w:spacing w:before="0" w:after="0" w:line="262" w:lineRule="auto"/>
              <w:jc w:val="left"/>
              <w:rPr>
                <w:color w:val="00274C"/>
                <w:sz w:val="20"/>
                <w:szCs w:val="20"/>
              </w:rPr>
            </w:pPr>
            <w:r>
              <w:rPr>
                <w:color w:val="00274C"/>
                <w:position w:val="-2"/>
                <w:sz w:val="20"/>
                <w:szCs w:val="20"/>
                <w:u w:val="none"/>
              </w:rPr>
              <w:t xml:space="preserve">L’entrée du réservoir est dotée d’un filtre devant être périodiquement nettoyé ou remplacé (consulter le tableau d’entretien et remplacement - uniquement pour réservoirs fournis par Kohler).</w:t>
            </w:r>
          </w:p>
          <w:p>
            <w:pPr>
              <w:numPr>
                <w:ilvl w:val="0"/>
                <w:numId w:val="3349"/>
              </w:numPr>
              <w:spacing w:before="0" w:after="0" w:line="262" w:lineRule="auto"/>
              <w:jc w:val="left"/>
              <w:rPr>
                <w:color w:val="00274C"/>
                <w:sz w:val="20"/>
                <w:szCs w:val="20"/>
              </w:rPr>
            </w:pPr>
            <w:r>
              <w:rPr>
                <w:color w:val="00274C"/>
                <w:position w:val="-2"/>
                <w:sz w:val="20"/>
                <w:szCs w:val="20"/>
                <w:u w:val="none"/>
              </w:rPr>
              <w:t xml:space="preserve">La qualité de l'DEF doit être conforme aux spécifications reportées dans le Tabl. 2.5.</w:t>
            </w:r>
          </w:p>
        </w:tc>
      </w:tr>
      <w:tr>
        <w:trPr>
          <w:trHeight w:val="0" w:hRule="atLeast"/>
        </w:trPr>
        <w:tc>
          <w:tcPr>
            <w:tcW w:w="0" w:type="auto"/>
            <w:gridSpan w:val="3"/>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41297106" name="name42506925e9e9923db"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26826925e9e9923d8"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Avvertenza</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Ne pas mélanger DEF au carburant ou à d’autres liquides (eau incluse) et ne pas remplir le réservoir de carburant avec deDEF.</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Pour démarrer le moteur il faut que le réservoir spécifique soit rempli de DEF.</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Achat en conteneurs : le conteneur, ouvert aussi, peut être stocké sous les mêmes conditions du conteneur scellé.</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Ne pas stocker le conteneur à une température dépassant 35° car elle pourrait engendrer l’altération de DEF.</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En cas de congélation de DEF à l’intérieur du conteneur (&lt; -11,5 °C | 11,3 °F), DEF pourra être utilisé une fois reporté à l’état liquide.</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Ne pas exposer DEF aux rayons directs du soleil.</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En cas d’ouverture et fermeture du conteneur d’achat d’origine, DEF doit être contrôlé au moyen d’un spectromètre afin d’en évaluer la qualité avant sa réutilisation.</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Ne pas remplir le réservoir DEF altéré car il pourrait en résulter des paramètres d’émissions du moteur non conformes, des erreurs de la centrale DCU et par conséquent l’extinction ou le raté d’allumage du moteur.</w:t>
            </w:r>
          </w:p>
        </w:tc>
      </w:tr>
      <w:tr>
        <w:trPr>
          <w:trHeight w:val="0" w:hRule="atLeast"/>
        </w:trPr>
        <w:tc>
          <w:tcPr>
            <w:tcW w:w="0" w:type="auto"/>
            <w:gridSpan w:val="3"/>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2.5</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PARAMÈTRES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UNITÉ DE MESURE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VALEUR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Indice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poids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31,8 ÷ 33,2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Densité à 20 °C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kg/m3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1.087 ÷ 1.093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Indice de réfraction à 20 °C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1,3814 ÷ 1,3843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Alcalinité comme NH3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poids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Biuret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poids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Aldéhyde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Insolubles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20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Phosphates comme PO4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Calcium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Cuivre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Zinc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Chrome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Nickel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Aluminium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Magnésium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Sodium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Potassium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Point de gel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color w:val="00274C"/>
                      <w:position w:val="-2"/>
                      <w:sz w:val="20"/>
                      <w:szCs w:val="20"/>
                      <w:u w:val="none"/>
                      <w:shd w:val="clear" w:color="auto" w:fill="E1E2E0"/>
                    </w:rPr>
                    <w:t xml:space="preserve">-11</w:t>
                  </w:r>
                </w:p>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Recommandation pour les liquides de refroidissement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Un mélange de 50 % d’eau déminéralisée et de 50 % d’éthylène glycol à faible teneur en silicate doit être utilisé pour le liquide de refroidissement. Utiliser un réfrigérant Longue Durée ou OAT à Durée de vie prolongée exempt de : silicates, phosphates, borates, nitrites et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Le réfrigérant moteur suivant à base d’éthylène-glycol peut être utilisé pour tous les modèles de la gamme de moteurs KDI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OAT (à base d’acide organique) Faible teneur en silicates : </w:t>
            </w:r>
            <w:r>
              <w:rPr>
                <w:b/>
                <w:bCs/>
                <w:color w:val="00274C"/>
                <w:position w:val="-2"/>
                <w:sz w:val="20"/>
                <w:szCs w:val="20"/>
                <w:u w:val="none"/>
              </w:rPr>
              <w:t xml:space="preserve">ASTM D-3306 D-6210</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HOAT (à base d’acide organique hybride) Faible teneur en silicates :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Les liquides de refroidissement suivants en formule concentrée doivent être mélangés avec de l’eau distillée, déionisée ou déminéralisée. Une formule pré-mélangée (40-60 % ou 50-50 %) peut être utilisée directement le cas échéant.</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90630716" name="name91756925e9e99fa61"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13776925e9e99fa5e"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Ne pas mélanger de liquides de refroidissement à base d’éthylène glycol et de propylène glycol. Ne pas mélanger de liquides de refroidissement à base d’OAT et d’HOAT. La durée de vie OAT peut être considérablement réduite en cas de contamination avec des liquides de refroidissement contenant du nitrite.</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Ne jamais utiliser des liquides de refroidissement de type automobile. Ces liquides de refroidissement ne contiennent pas les additifs appropriés pour protéger les moteurs diesel haute performance.</w:t>
            </w:r>
          </w:p>
          <w:p/>
          <w:p/>
          <w:p>
            <w:pPr>
              <w:widowControl w:val="on"/>
              <w:pBdr/>
              <w:spacing w:before="0" w:after="0" w:line="262" w:lineRule="auto"/>
              <w:ind w:left="0" w:right="0"/>
              <w:jc w:val="left"/>
              <w:textAlignment w:val="center"/>
            </w:pPr>
            <w:r>
              <w:rPr>
                <w:color w:val="00274C"/>
                <w:position w:val="-2"/>
                <w:sz w:val="20"/>
                <w:szCs w:val="20"/>
                <w:u w:val="none"/>
              </w:rPr>
              <w:t xml:space="preserve">Les liquides de refroidissement OAT sont exempts de maintenance pendant maximum 6 ans ou 6 000 heures de fonctionnement, à condition que le système de refroidissement soit complété avec le même type de réfrigérant. Ne pas mélanger différents types de réfrigérant. Tester tous les ans l’état du réfrigérant à l’aide de bandelettes d’essai de réfrigérant.</w:t>
            </w:r>
            <w:r>
              <w:rPr>
                <w:color w:val="00274C"/>
                <w:position w:val="-2"/>
                <w:sz w:val="20"/>
                <w:szCs w:val="20"/>
                <w:u w:val="none"/>
              </w:rPr>
              <w:br/>
              <w:t xml:space="preserve">Les liquides de refroidissement HOAT ne sont pas exempts de maintenance et il est recommandé d’ajouter des SCA (Additifs de refroidissement supplémentaires) au premier intervalle de maintenance.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Caractéristiques des batteries</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Batterie non fournie par Kohler</w:t>
            </w:r>
          </w:p>
          <w:p/>
          <w:p/>
          <w:p>
            <w:pPr>
              <w:widowControl w:val="on"/>
              <w:pBdr/>
              <w:spacing w:before="0" w:after="0" w:line="262" w:lineRule="auto"/>
              <w:ind w:left="0" w:right="0"/>
              <w:jc w:val="left"/>
              <w:textAlignment w:val="center"/>
            </w:pPr>
            <w:r>
              <w:rPr>
                <w:b/>
                <w:bCs/>
                <w:color w:val="00274C"/>
                <w:position w:val="-2"/>
                <w:sz w:val="20"/>
                <w:szCs w:val="20"/>
                <w:u w:val="none"/>
              </w:rPr>
              <w:t xml:space="preserve">2.6</w:t>
            </w:r>
          </w:p>
          <w:p/>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BATTERIES CONSEILLÉES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TEMPÉRATURE AMBIANTE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w:t>
                  </w:r>
                  <w:r>
                    <w:rPr>
                      <w:b/>
                      <w:bCs/>
                      <w:color w:val="FFFFFF"/>
                      <w:position w:val="-2"/>
                      <w:sz w:val="20"/>
                      <w:szCs w:val="20"/>
                      <w:u w:val="none"/>
                      <w:shd w:val="clear" w:color="auto" w:fill="00274C"/>
                    </w:rPr>
                    <w:t xml:space="preserve"> </w:t>
                  </w:r>
                  <w:r>
                    <w:rPr>
                      <w:b/>
                      <w:bCs/>
                      <w:color w:val="FFFFFF"/>
                      <w:position w:val="-2"/>
                      <w:sz w:val="20"/>
                      <w:szCs w:val="20"/>
                      <w:u w:val="none"/>
                      <w:shd w:val="clear" w:color="auto" w:fill="00274C"/>
                    </w:rPr>
                    <w:t xml:space="preserve">É</w:t>
                  </w:r>
                  <w:r>
                    <w:rPr>
                      <w:b/>
                      <w:bCs/>
                      <w:color w:val="FFFFFF"/>
                      <w:position w:val="-2"/>
                      <w:sz w:val="20"/>
                      <w:szCs w:val="20"/>
                      <w:u w:val="none"/>
                      <w:shd w:val="clear" w:color="auto" w:fill="00274C"/>
                    </w:rPr>
                    <w:t xml:space="preserve"> MARREUR</w:t>
                  </w:r>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HUILE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TYPE DE BATTERIE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CONDITION DE LA MACHINE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3.2kW + HEATER</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color w:val="00274C"/>
                      <w:position w:val="-2"/>
                      <w:sz w:val="20"/>
                      <w:szCs w:val="20"/>
                      <w:u w:val="none"/>
                      <w:shd w:val="clear" w:color="auto" w:fill="E1E2E0"/>
                    </w:rPr>
                    <w:t xml:space="preserve">880CCA SAE (=1000 A (EN)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charges parasites hydrauliques légères ou embrayage et boîte de vitesse mécanique </w:t>
                  </w:r>
                </w:p>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4.2kW + HEATER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color w:val="00274C"/>
                      <w:position w:val="-2"/>
                      <w:sz w:val="20"/>
                      <w:szCs w:val="20"/>
                      <w:u w:val="none"/>
                      <w:shd w:val="clear" w:color="auto" w:fill="E1E2E0"/>
                    </w:rPr>
                    <w:t xml:space="preserve">1000CCA SAE =(1250 A (EN)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charges parasites hydrauliques lourdes </w:t>
                  </w:r>
                </w:p>
                <w:p/>
              </w:tc>
            </w:tr>
          </w:tbl>
          <w:p/>
          <w:p/>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Stratégie Inducement du système ATS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L’inducement consiste dans la réduction des performances du moteur suite à la détection par la centrale DCU d’un dysfonctionnement ou une altération du système ATS.</w:t>
            </w:r>
            <w:r>
              <w:rPr>
                <w:color w:val="00274C"/>
                <w:position w:val="-2"/>
                <w:sz w:val="20"/>
                <w:szCs w:val="20"/>
                <w:u w:val="none"/>
              </w:rPr>
              <w:br/>
              <w:br/>
              <w:t xml:space="preserve">Le niveau d’Inducement est établi par la centrale ECU en fonction de l’erreur détectée par la DCU.</w:t>
            </w:r>
            <w:r>
              <w:rPr>
                <w:color w:val="00274C"/>
                <w:position w:val="-2"/>
                <w:sz w:val="20"/>
                <w:szCs w:val="20"/>
                <w:u w:val="none"/>
              </w:rPr>
              <w:br/>
              <w:br/>
              <w:br/>
              <w:br/>
              <w:t xml:space="preserve">L’information affichée sur le tableau machine ou l’activation de l'Inducement peut avoir les raisons suivantes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Niveau DEF insuffisant</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Mauvaise qualité de DEF</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Coupure du dosage de DEF</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Dysfonctionnement de la soupape EGR</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Altération des dispositifs de surveillance du système ATS.</w:t>
            </w:r>
          </w:p>
          <w:p>
            <w:pPr>
              <w:widowControl w:val="on"/>
              <w:pBdr/>
              <w:spacing w:before="0" w:after="0" w:line="240" w:lineRule="auto"/>
              <w:ind w:left="0" w:right="0"/>
              <w:jc w:val="left"/>
            </w:pPr>
            <w:r>
              <w:rPr>
                <w:color w:val="00274C"/>
                <w:position w:val="-2"/>
                <w:sz w:val="20"/>
                <w:szCs w:val="20"/>
                <w:u w:val="none"/>
              </w:rPr>
              <w:t xml:space="preserve">
La stratégie de l’Inducement est appliquée en fonction :</w:t>
            </w:r>
          </w:p>
          <w:p>
            <w:pPr>
              <w:numPr>
                <w:ilvl w:val="0"/>
                <w:numId w:val="3346"/>
              </w:numPr>
              <w:spacing w:before="0" w:after="0" w:line="262" w:lineRule="auto"/>
              <w:jc w:val="left"/>
              <w:rPr>
                <w:color w:val="00274C"/>
                <w:sz w:val="20"/>
                <w:szCs w:val="20"/>
              </w:rPr>
            </w:pPr>
            <w:r>
              <w:rPr>
                <w:color w:val="00274C"/>
                <w:position w:val="-2"/>
                <w:sz w:val="20"/>
                <w:szCs w:val="20"/>
                <w:u w:val="none"/>
              </w:rPr>
              <w:br/>
              <w:t xml:space="preserve">du problème constaté</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des heures écoulées.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 : les heures sont mises à zéro après 40h sans que la DCU ne détecte d’anomalies, dans le cas contraire les heures vont s’ajouter à celles précédentes déjà comptées. En cas de niveau insuffisant DEF, l’activation a lieu en fonction du pourcentage de liquide présent dans le réservoir DEF ; les heures d’anomalie ne sont pas prises en compte.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Par la suite on décrit la stratégie selon les différentes anomalies (Stage V - EU):</w:t>
            </w:r>
          </w:p>
          <w:p/>
          <w:p/>
          <w:p>
            <w:pPr>
              <w:widowControl w:val="on"/>
              <w:pBdr/>
              <w:spacing w:before="0" w:after="0" w:line="262" w:lineRule="auto"/>
              <w:ind w:left="0" w:right="0"/>
              <w:jc w:val="left"/>
              <w:textAlignment w:val="center"/>
            </w:pPr>
            <w:r>
              <w:rPr>
                <w:color w:val="00274C"/>
                <w:position w:val="-2"/>
                <w:sz w:val="20"/>
                <w:szCs w:val="20"/>
                <w:u w:val="none"/>
              </w:rPr>
              <w:t xml:space="preserve">L'Inducement peut avoir 2 niveaux, listés ci-dessous :</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1 </w:t>
            </w:r>
            <w:r>
              <w:rPr>
                <w:color w:val="00274C"/>
                <w:position w:val="3"/>
                <w:sz w:val="17"/>
                <w:szCs w:val="17"/>
                <w:u w:val="none"/>
                <w:vertAlign w:val="superscript"/>
                <w:vertAlign w:val="superscript"/>
              </w:rPr>
              <w:t xml:space="preserve">er</w:t>
            </w:r>
            <w:r>
              <w:rPr>
                <w:color w:val="00274C"/>
                <w:position w:val="-2"/>
                <w:sz w:val="20"/>
                <w:szCs w:val="20"/>
                <w:u w:val="none"/>
              </w:rPr>
              <w:t xml:space="preserve"> niveau : réduction de 25 % du couple MAX disponible.</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2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réduction de 50 % du couple MAX disponible et réduction de 40 % des tours MAX disponibles.</w:t>
            </w:r>
          </w:p>
          <w:p>
            <w:pPr>
              <w:widowControl w:val="on"/>
              <w:pBdr/>
              <w:spacing w:before="0" w:after="0" w:line="240" w:lineRule="auto"/>
              <w:ind w:left="0" w:right="0"/>
              <w:jc w:val="left"/>
            </w:pPr>
            <w:r>
              <w:rPr>
                <w:color w:val="00274C"/>
                <w:position w:val="-2"/>
                <w:sz w:val="20"/>
                <w:szCs w:val="20"/>
                <w:u w:val="none"/>
              </w:rPr>
              <w:t xml:space="preserve">
Avant l’activation de l'Inducement (1 </w:t>
            </w:r>
            <w:r>
              <w:rPr>
                <w:color w:val="00274C"/>
                <w:position w:val="3"/>
                <w:sz w:val="17"/>
                <w:szCs w:val="17"/>
                <w:u w:val="none"/>
                <w:vertAlign w:val="superscript"/>
                <w:vertAlign w:val="superscript"/>
              </w:rPr>
              <w:t xml:space="preserve">er</w:t>
            </w:r>
            <w:r>
              <w:rPr>
                <w:color w:val="00274C"/>
                <w:position w:val="-2"/>
                <w:sz w:val="20"/>
                <w:szCs w:val="20"/>
                <w:u w:val="none"/>
              </w:rPr>
              <w:t xml:space="preserve"> niveau ou 2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la centrale ECU active un avertissement ou un témoin sur le tableau machine (consulter la documentation de la machine pour les types d’avertissement).
</w:t>
            </w:r>
          </w:p>
          <w:p>
            <w:pPr>
              <w:widowControl w:val="on"/>
              <w:pBdr/>
              <w:spacing w:before="0" w:after="0" w:line="262" w:lineRule="auto"/>
              <w:ind w:left="0" w:right="0"/>
              <w:jc w:val="left"/>
              <w:textAlignment w:val="center"/>
            </w:pPr>
            <w:r>
              <w:rPr>
                <w:b/>
                <w:bCs/>
                <w:i/>
                <w:iCs/>
                <w:color w:val="00274C"/>
                <w:position w:val="-2"/>
                <w:sz w:val="20"/>
                <w:szCs w:val="20"/>
                <w:u w:val="none"/>
              </w:rPr>
              <w:br/>
              <w:t xml:space="preserve">Niveau DEF</w:t>
            </w:r>
            <w:r>
              <w:rPr>
                <w:color w:val="00274C"/>
                <w:position w:val="-2"/>
                <w:sz w:val="20"/>
                <w:szCs w:val="20"/>
                <w:u w:val="none"/>
              </w:rPr>
              <w:t xml:space="preserve"> </w:t>
            </w:r>
            <w:r>
              <w:rPr>
                <w:b/>
                <w:bCs/>
                <w:i/>
                <w:iCs/>
                <w:color w:val="00274C"/>
                <w:position w:val="-2"/>
                <w:sz w:val="20"/>
                <w:szCs w:val="20"/>
                <w:u w:val="none"/>
              </w:rPr>
              <w:t xml:space="preserve">insuffisant</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affichage de l’information sur le tableau machine :</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Inducement de 1 </w:t>
            </w:r>
            <w:r>
              <w:rPr>
                <w:color w:val="00274C"/>
                <w:position w:val="3"/>
                <w:sz w:val="17"/>
                <w:szCs w:val="17"/>
                <w:u w:val="none"/>
                <w:vertAlign w:val="superscript"/>
                <w:vertAlign w:val="superscript"/>
              </w:rPr>
              <w:t xml:space="preserve">er</w:t>
            </w:r>
            <w:r>
              <w:rPr>
                <w:color w:val="00274C"/>
                <w:position w:val="-2"/>
                <w:sz w:val="20"/>
                <w:szCs w:val="20"/>
                <w:u w:val="none"/>
              </w:rPr>
              <w:t xml:space="preserve"> niveau : &lt;2.5% du niveau MAX</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Inducement de 2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0% du niveau MAX</w:t>
            </w:r>
          </w:p>
          <w:p>
            <w:pPr>
              <w:widowControl w:val="on"/>
              <w:pBdr/>
              <w:spacing w:before="0" w:after="0" w:line="240" w:lineRule="auto"/>
              <w:ind w:left="0" w:right="0"/>
              <w:jc w:val="left"/>
            </w:pPr>
            <w:r>
              <w:rPr>
                <w:b/>
                <w:bCs/>
                <w:i/>
                <w:iCs/>
                <w:color w:val="00274C"/>
                <w:position w:val="-2"/>
                <w:sz w:val="20"/>
                <w:szCs w:val="20"/>
                <w:u w:val="none"/>
              </w:rPr>
              <w:t xml:space="preserve">Mauvaise qualité de DEF</w:t>
            </w:r>
          </w:p>
          <w:p>
            <w:pPr>
              <w:numPr>
                <w:ilvl w:val="0"/>
                <w:numId w:val="3346"/>
              </w:numPr>
              <w:spacing w:before="0" w:after="0" w:line="262" w:lineRule="auto"/>
              <w:jc w:val="left"/>
              <w:rPr>
                <w:color w:val="00274C"/>
                <w:sz w:val="20"/>
                <w:szCs w:val="20"/>
              </w:rPr>
            </w:pPr>
            <w:r>
              <w:rPr>
                <w:color w:val="00274C"/>
                <w:position w:val="-2"/>
                <w:sz w:val="20"/>
                <w:szCs w:val="20"/>
                <w:u w:val="none"/>
              </w:rPr>
              <w:br/>
              <w:t xml:space="preserve">affichage de l’information sur le tableau machine : lors de la détection de l’anomalie</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Inducement de 1 </w:t>
            </w:r>
            <w:r>
              <w:rPr>
                <w:color w:val="00274C"/>
                <w:position w:val="3"/>
                <w:sz w:val="17"/>
                <w:szCs w:val="17"/>
                <w:u w:val="none"/>
                <w:vertAlign w:val="superscript"/>
                <w:vertAlign w:val="superscript"/>
              </w:rPr>
              <w:t xml:space="preserve">er</w:t>
            </w:r>
            <w:r>
              <w:rPr>
                <w:color w:val="00274C"/>
                <w:position w:val="-2"/>
                <w:sz w:val="20"/>
                <w:szCs w:val="20"/>
                <w:u w:val="none"/>
              </w:rPr>
              <w:t xml:space="preserve"> niveau : 10h après la détection de l’anomalie</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Inducement de 2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20h après la détection de l’anomalie</w:t>
            </w:r>
          </w:p>
          <w:p>
            <w:pPr>
              <w:widowControl w:val="on"/>
              <w:pBdr/>
              <w:spacing w:before="0" w:after="0" w:line="240" w:lineRule="auto"/>
              <w:ind w:left="0" w:right="0"/>
              <w:jc w:val="left"/>
            </w:pPr>
            <w:r>
              <w:rPr>
                <w:b/>
                <w:bCs/>
                <w:i/>
                <w:iCs/>
                <w:color w:val="00274C"/>
                <w:position w:val="-2"/>
                <w:sz w:val="20"/>
                <w:szCs w:val="20"/>
                <w:u w:val="none"/>
              </w:rPr>
              <w:t xml:space="preserve">Coupure du dosage de DEF</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affichage de l’information sur le tableau machine : lors de la détection de l’anomalie</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Inducement de 1 </w:t>
            </w:r>
            <w:r>
              <w:rPr>
                <w:color w:val="00274C"/>
                <w:position w:val="3"/>
                <w:sz w:val="17"/>
                <w:szCs w:val="17"/>
                <w:u w:val="none"/>
                <w:vertAlign w:val="superscript"/>
                <w:vertAlign w:val="superscript"/>
              </w:rPr>
              <w:t xml:space="preserve">er</w:t>
            </w:r>
            <w:r>
              <w:rPr>
                <w:color w:val="00274C"/>
                <w:position w:val="-2"/>
                <w:sz w:val="20"/>
                <w:szCs w:val="20"/>
                <w:u w:val="none"/>
              </w:rPr>
              <w:t xml:space="preserve"> niveau : 10h après la détection de l’anomalie</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Inducement de 2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20h après la détection de l’anomalie</w:t>
            </w:r>
          </w:p>
          <w:p>
            <w:pPr>
              <w:widowControl w:val="on"/>
              <w:pBdr/>
              <w:spacing w:before="0" w:after="0" w:line="240" w:lineRule="auto"/>
              <w:ind w:left="0" w:right="0"/>
              <w:jc w:val="left"/>
            </w:pPr>
            <w:r>
              <w:rPr>
                <w:b/>
                <w:bCs/>
                <w:i/>
                <w:iCs/>
                <w:color w:val="00274C"/>
                <w:position w:val="-2"/>
                <w:sz w:val="20"/>
                <w:szCs w:val="20"/>
                <w:u w:val="none"/>
              </w:rPr>
              <w:t xml:space="preserve">Dysfonctionnement de la soupape EGR</w:t>
            </w:r>
          </w:p>
          <w:p>
            <w:pPr>
              <w:numPr>
                <w:ilvl w:val="0"/>
                <w:numId w:val="3346"/>
              </w:numPr>
              <w:spacing w:before="0" w:after="0" w:line="262" w:lineRule="auto"/>
              <w:jc w:val="left"/>
              <w:rPr>
                <w:color w:val="00274C"/>
                <w:sz w:val="20"/>
                <w:szCs w:val="20"/>
              </w:rPr>
            </w:pPr>
            <w:r>
              <w:rPr>
                <w:color w:val="00274C"/>
                <w:position w:val="-2"/>
                <w:sz w:val="20"/>
                <w:szCs w:val="20"/>
                <w:u w:val="none"/>
              </w:rPr>
              <w:br/>
              <w:t xml:space="preserve">affichage de l’information sur le tableau machine : lors de la détection de l’anomalie</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Inducement de 1 </w:t>
            </w:r>
            <w:r>
              <w:rPr>
                <w:color w:val="00274C"/>
                <w:position w:val="3"/>
                <w:sz w:val="17"/>
                <w:szCs w:val="17"/>
                <w:u w:val="none"/>
                <w:vertAlign w:val="superscript"/>
                <w:vertAlign w:val="superscript"/>
              </w:rPr>
              <w:t xml:space="preserve">er</w:t>
            </w:r>
            <w:r>
              <w:rPr>
                <w:color w:val="00274C"/>
                <w:position w:val="-2"/>
                <w:sz w:val="20"/>
                <w:szCs w:val="20"/>
                <w:u w:val="none"/>
              </w:rPr>
              <w:t xml:space="preserve"> niveau : 36h après la détection de l’anomalie</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Inducement de 2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100h après la détection de l’anomalie</w:t>
            </w:r>
          </w:p>
          <w:p>
            <w:pPr>
              <w:widowControl w:val="on"/>
              <w:pBdr/>
              <w:spacing w:before="0" w:after="0" w:line="240" w:lineRule="auto"/>
              <w:ind w:left="0" w:right="0"/>
              <w:jc w:val="left"/>
            </w:pPr>
            <w:r>
              <w:rPr>
                <w:b/>
                <w:bCs/>
                <w:i/>
                <w:iCs/>
                <w:color w:val="00274C"/>
                <w:position w:val="-2"/>
                <w:sz w:val="20"/>
                <w:szCs w:val="20"/>
                <w:u w:val="none"/>
              </w:rPr>
              <w:t xml:space="preserve">Altération des dispositifs de surveillance du système ATS</w:t>
            </w:r>
          </w:p>
          <w:p>
            <w:pPr>
              <w:numPr>
                <w:ilvl w:val="0"/>
                <w:numId w:val="3346"/>
              </w:numPr>
              <w:spacing w:before="0" w:after="0" w:line="262" w:lineRule="auto"/>
              <w:jc w:val="left"/>
              <w:rPr>
                <w:color w:val="00274C"/>
                <w:sz w:val="20"/>
                <w:szCs w:val="20"/>
              </w:rPr>
            </w:pPr>
            <w:r>
              <w:rPr>
                <w:color w:val="00274C"/>
                <w:position w:val="-2"/>
                <w:sz w:val="20"/>
                <w:szCs w:val="20"/>
                <w:u w:val="none"/>
              </w:rPr>
              <w:br/>
              <w:t xml:space="preserve">affichage de l’information sur le tableau machine : lors de la détection de l’anomalie</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Inducement de 1 </w:t>
            </w:r>
            <w:r>
              <w:rPr>
                <w:color w:val="00274C"/>
                <w:position w:val="3"/>
                <w:sz w:val="17"/>
                <w:szCs w:val="17"/>
                <w:u w:val="none"/>
                <w:vertAlign w:val="superscript"/>
                <w:vertAlign w:val="superscript"/>
              </w:rPr>
              <w:t xml:space="preserve">er</w:t>
            </w:r>
            <w:r>
              <w:rPr>
                <w:color w:val="00274C"/>
                <w:position w:val="-2"/>
                <w:sz w:val="20"/>
                <w:szCs w:val="20"/>
                <w:u w:val="none"/>
              </w:rPr>
              <w:t xml:space="preserve"> niveau : 36h après la détection de l’anomalie</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Inducement de 2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100h après la détection de l’anomalie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Par la suite on décrit la stratégie selon les différentes anomalies (Tier 4 Final - USA):</w:t>
            </w:r>
          </w:p>
          <w:p/>
          <w:p/>
          <w:p>
            <w:pPr>
              <w:widowControl w:val="on"/>
              <w:pBdr/>
              <w:spacing w:before="0" w:after="0" w:line="262" w:lineRule="auto"/>
              <w:ind w:left="0" w:right="0"/>
              <w:jc w:val="left"/>
              <w:textAlignment w:val="center"/>
            </w:pPr>
            <w:r>
              <w:rPr>
                <w:color w:val="00274C"/>
                <w:position w:val="-2"/>
                <w:sz w:val="20"/>
                <w:szCs w:val="20"/>
                <w:u w:val="none"/>
              </w:rPr>
              <w:t xml:space="preserve">L'Inducement peut avoir 3 niveaux, listés ci-dessous :</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1 </w:t>
            </w:r>
            <w:r>
              <w:rPr>
                <w:color w:val="00274C"/>
                <w:position w:val="3"/>
                <w:sz w:val="17"/>
                <w:szCs w:val="17"/>
                <w:u w:val="none"/>
                <w:vertAlign w:val="superscript"/>
                <w:vertAlign w:val="superscript"/>
              </w:rPr>
              <w:t xml:space="preserve">er</w:t>
            </w:r>
            <w:r>
              <w:rPr>
                <w:color w:val="00274C"/>
                <w:position w:val="-2"/>
                <w:sz w:val="20"/>
                <w:szCs w:val="20"/>
                <w:u w:val="none"/>
              </w:rPr>
              <w:t xml:space="preserve"> niveau : réduction de 25 % du couple MAX disponible.</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2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réduction de 50 % du couple MAX disponible et réduction de 40 % des tours MAX disponibles.</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3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le moteur fonctionne au régime minimum et au couple MAX</w:t>
            </w:r>
          </w:p>
          <w:p>
            <w:pPr>
              <w:widowControl w:val="on"/>
              <w:pBdr/>
              <w:spacing w:before="0" w:after="0" w:line="240" w:lineRule="auto"/>
              <w:ind w:left="0" w:right="0"/>
              <w:jc w:val="left"/>
            </w:pPr>
            <w:r>
              <w:rPr>
                <w:color w:val="00274C"/>
                <w:position w:val="-2"/>
                <w:sz w:val="20"/>
                <w:szCs w:val="20"/>
                <w:u w:val="none"/>
              </w:rPr>
              <w:t xml:space="preserve">
Avant l’activation de l'Inducement (1 </w:t>
            </w:r>
            <w:r>
              <w:rPr>
                <w:color w:val="00274C"/>
                <w:position w:val="3"/>
                <w:sz w:val="17"/>
                <w:szCs w:val="17"/>
                <w:u w:val="none"/>
                <w:vertAlign w:val="superscript"/>
                <w:vertAlign w:val="superscript"/>
              </w:rPr>
              <w:t xml:space="preserve">er</w:t>
            </w:r>
            <w:r>
              <w:rPr>
                <w:color w:val="00274C"/>
                <w:position w:val="-2"/>
                <w:sz w:val="20"/>
                <w:szCs w:val="20"/>
                <w:u w:val="none"/>
              </w:rPr>
              <w:t xml:space="preserve"> niveau, 2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ou 3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la centrale ECU active un avertissement ou un témoin sur le tableau machine (consulter la documentation de la machine pour les types d’avertissement).
</w:t>
            </w:r>
          </w:p>
          <w:p>
            <w:pPr>
              <w:widowControl w:val="on"/>
              <w:pBdr/>
              <w:spacing w:before="0" w:after="0" w:line="262" w:lineRule="auto"/>
              <w:ind w:left="0" w:right="0"/>
              <w:jc w:val="left"/>
              <w:textAlignment w:val="center"/>
            </w:pPr>
            <w:r>
              <w:rPr>
                <w:b/>
                <w:bCs/>
                <w:i/>
                <w:iCs/>
                <w:color w:val="00274C"/>
                <w:position w:val="-2"/>
                <w:sz w:val="20"/>
                <w:szCs w:val="20"/>
                <w:u w:val="none"/>
              </w:rPr>
              <w:br/>
              <w:t xml:space="preserve">Niveau DEF</w:t>
            </w:r>
            <w:r>
              <w:rPr>
                <w:color w:val="00274C"/>
                <w:position w:val="-2"/>
                <w:sz w:val="20"/>
                <w:szCs w:val="20"/>
                <w:u w:val="none"/>
              </w:rPr>
              <w:t xml:space="preserve"> </w:t>
            </w:r>
            <w:r>
              <w:rPr>
                <w:b/>
                <w:bCs/>
                <w:i/>
                <w:iCs/>
                <w:color w:val="00274C"/>
                <w:position w:val="-2"/>
                <w:sz w:val="20"/>
                <w:szCs w:val="20"/>
                <w:u w:val="none"/>
              </w:rPr>
              <w:t xml:space="preserve">insuffisant</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affichage de l’information sur le tableau machine :</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Inducement de 1 </w:t>
            </w:r>
            <w:r>
              <w:rPr>
                <w:color w:val="00274C"/>
                <w:position w:val="3"/>
                <w:sz w:val="17"/>
                <w:szCs w:val="17"/>
                <w:u w:val="none"/>
                <w:vertAlign w:val="superscript"/>
                <w:vertAlign w:val="superscript"/>
              </w:rPr>
              <w:t xml:space="preserve">er</w:t>
            </w:r>
            <w:r>
              <w:rPr>
                <w:color w:val="00274C"/>
                <w:position w:val="-2"/>
                <w:sz w:val="20"/>
                <w:szCs w:val="20"/>
                <w:u w:val="none"/>
              </w:rPr>
              <w:t xml:space="preserve"> niveau : &lt;5% du niveau MAX</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Inducement de 2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&lt;2.5% du niveau MAX</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Inducement de 3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&lt;0.5% du niveau MAX</w:t>
            </w:r>
          </w:p>
          <w:p>
            <w:pPr>
              <w:widowControl w:val="on"/>
              <w:pBdr/>
              <w:spacing w:before="0" w:after="0" w:line="240" w:lineRule="auto"/>
              <w:ind w:left="0" w:right="0"/>
              <w:jc w:val="left"/>
            </w:pPr>
            <w:r>
              <w:rPr>
                <w:b/>
                <w:bCs/>
                <w:i/>
                <w:iCs/>
                <w:color w:val="00274C"/>
                <w:position w:val="-2"/>
                <w:sz w:val="20"/>
                <w:szCs w:val="20"/>
                <w:u w:val="none"/>
              </w:rPr>
              <w:t xml:space="preserve">Mauvaise qualité de DEF</w:t>
            </w:r>
          </w:p>
          <w:p>
            <w:pPr>
              <w:numPr>
                <w:ilvl w:val="0"/>
                <w:numId w:val="3346"/>
              </w:numPr>
              <w:spacing w:before="0" w:after="0" w:line="262" w:lineRule="auto"/>
              <w:jc w:val="left"/>
              <w:rPr>
                <w:color w:val="00274C"/>
                <w:sz w:val="20"/>
                <w:szCs w:val="20"/>
              </w:rPr>
            </w:pPr>
            <w:r>
              <w:rPr>
                <w:color w:val="00274C"/>
                <w:position w:val="-2"/>
                <w:sz w:val="20"/>
                <w:szCs w:val="20"/>
                <w:u w:val="none"/>
              </w:rPr>
              <w:br/>
              <w:t xml:space="preserve">affichage de l’information sur le tableau machine : lors de la détection de l’anomalie</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Inducement de 1 </w:t>
            </w:r>
            <w:r>
              <w:rPr>
                <w:color w:val="00274C"/>
                <w:position w:val="3"/>
                <w:sz w:val="17"/>
                <w:szCs w:val="17"/>
                <w:u w:val="none"/>
                <w:vertAlign w:val="superscript"/>
                <w:vertAlign w:val="superscript"/>
              </w:rPr>
              <w:t xml:space="preserve">er</w:t>
            </w:r>
            <w:r>
              <w:rPr>
                <w:color w:val="00274C"/>
                <w:position w:val="-2"/>
                <w:sz w:val="20"/>
                <w:szCs w:val="20"/>
                <w:u w:val="none"/>
              </w:rPr>
              <w:t xml:space="preserve"> niveau : 1h après la détection de l’anomalie</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Inducement de 2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2h après la détection de l’anomalie</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Inducement de 3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3h après la détection de l’anomalie</w:t>
            </w:r>
          </w:p>
          <w:p>
            <w:pPr>
              <w:widowControl w:val="on"/>
              <w:pBdr/>
              <w:spacing w:before="0" w:after="0" w:line="240" w:lineRule="auto"/>
              <w:ind w:left="0" w:right="0"/>
              <w:jc w:val="left"/>
            </w:pPr>
            <w:r>
              <w:rPr>
                <w:b/>
                <w:bCs/>
                <w:i/>
                <w:iCs/>
                <w:color w:val="00274C"/>
                <w:position w:val="-2"/>
                <w:sz w:val="20"/>
                <w:szCs w:val="20"/>
                <w:u w:val="none"/>
              </w:rPr>
              <w:t xml:space="preserve">Coupure du dosage de DEF</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affichage de l’information sur le tableau machine : lors de la détection de l’anomalie</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Inducement de 1 </w:t>
            </w:r>
            <w:r>
              <w:rPr>
                <w:color w:val="00274C"/>
                <w:position w:val="3"/>
                <w:sz w:val="17"/>
                <w:szCs w:val="17"/>
                <w:u w:val="none"/>
                <w:vertAlign w:val="superscript"/>
                <w:vertAlign w:val="superscript"/>
              </w:rPr>
              <w:t xml:space="preserve">er</w:t>
            </w:r>
            <w:r>
              <w:rPr>
                <w:color w:val="00274C"/>
                <w:position w:val="-2"/>
                <w:sz w:val="20"/>
                <w:szCs w:val="20"/>
                <w:u w:val="none"/>
              </w:rPr>
              <w:t xml:space="preserve"> niveau : 1h après la détection de l’anomalie</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Inducement de 2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2h après la détection de l’anomalie</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Inducement de 3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3h après la détection de l’anomalie</w:t>
            </w:r>
          </w:p>
          <w:p>
            <w:pPr>
              <w:widowControl w:val="on"/>
              <w:pBdr/>
              <w:spacing w:before="0" w:after="0" w:line="240" w:lineRule="auto"/>
              <w:ind w:left="0" w:right="0"/>
              <w:jc w:val="left"/>
            </w:pPr>
            <w:r>
              <w:rPr>
                <w:b/>
                <w:bCs/>
                <w:i/>
                <w:iCs/>
                <w:color w:val="00274C"/>
                <w:position w:val="-2"/>
                <w:sz w:val="20"/>
                <w:szCs w:val="20"/>
                <w:u w:val="none"/>
              </w:rPr>
              <w:t xml:space="preserve">Dysfonctionnement de la soupape EGR</w:t>
            </w:r>
          </w:p>
          <w:p>
            <w:pPr>
              <w:numPr>
                <w:ilvl w:val="0"/>
                <w:numId w:val="3346"/>
              </w:numPr>
              <w:spacing w:before="0" w:after="0" w:line="262" w:lineRule="auto"/>
              <w:jc w:val="left"/>
              <w:rPr>
                <w:color w:val="00274C"/>
                <w:sz w:val="20"/>
                <w:szCs w:val="20"/>
              </w:rPr>
            </w:pPr>
            <w:r>
              <w:rPr>
                <w:color w:val="00274C"/>
                <w:position w:val="-2"/>
                <w:sz w:val="20"/>
                <w:szCs w:val="20"/>
                <w:u w:val="none"/>
              </w:rPr>
              <w:br/>
              <w:t xml:space="preserve">affichage de l’information sur le tableau machine : lors de la détection de l’anomalie</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Inducement de 1 </w:t>
            </w:r>
            <w:r>
              <w:rPr>
                <w:color w:val="00274C"/>
                <w:position w:val="3"/>
                <w:sz w:val="17"/>
                <w:szCs w:val="17"/>
                <w:u w:val="none"/>
                <w:vertAlign w:val="superscript"/>
                <w:vertAlign w:val="superscript"/>
              </w:rPr>
              <w:t xml:space="preserve">er</w:t>
            </w:r>
            <w:r>
              <w:rPr>
                <w:color w:val="00274C"/>
                <w:position w:val="-2"/>
                <w:sz w:val="20"/>
                <w:szCs w:val="20"/>
                <w:u w:val="none"/>
              </w:rPr>
              <w:t xml:space="preserve"> niveau : 1h après la détection de l’anomalie</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Inducement de 2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2h après la détection de l’anomalie</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Inducement de 3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3h après la détection de l’anomalie</w:t>
            </w:r>
          </w:p>
          <w:p>
            <w:pPr>
              <w:widowControl w:val="on"/>
              <w:pBdr/>
              <w:spacing w:before="0" w:after="0" w:line="240" w:lineRule="auto"/>
              <w:ind w:left="0" w:right="0"/>
              <w:jc w:val="left"/>
            </w:pPr>
            <w:r>
              <w:rPr>
                <w:b/>
                <w:bCs/>
                <w:i/>
                <w:iCs/>
                <w:color w:val="00274C"/>
                <w:position w:val="-2"/>
                <w:sz w:val="20"/>
                <w:szCs w:val="20"/>
                <w:u w:val="none"/>
              </w:rPr>
              <w:t xml:space="preserve">Altération des dispositifs de surveillance du système ATS</w:t>
            </w:r>
          </w:p>
          <w:p>
            <w:pPr>
              <w:numPr>
                <w:ilvl w:val="0"/>
                <w:numId w:val="3346"/>
              </w:numPr>
              <w:spacing w:before="0" w:after="0" w:line="262" w:lineRule="auto"/>
              <w:jc w:val="left"/>
              <w:rPr>
                <w:color w:val="00274C"/>
                <w:sz w:val="20"/>
                <w:szCs w:val="20"/>
              </w:rPr>
            </w:pPr>
            <w:r>
              <w:rPr>
                <w:color w:val="00274C"/>
                <w:position w:val="-2"/>
                <w:sz w:val="20"/>
                <w:szCs w:val="20"/>
                <w:u w:val="none"/>
              </w:rPr>
              <w:br/>
              <w:t xml:space="preserve">affichage de l’information sur le tableau machine : lors de la détection de l’anomalie</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Inducement de 1 </w:t>
            </w:r>
            <w:r>
              <w:rPr>
                <w:color w:val="00274C"/>
                <w:position w:val="3"/>
                <w:sz w:val="17"/>
                <w:szCs w:val="17"/>
                <w:u w:val="none"/>
                <w:vertAlign w:val="superscript"/>
                <w:vertAlign w:val="superscript"/>
              </w:rPr>
              <w:t xml:space="preserve">er</w:t>
            </w:r>
            <w:r>
              <w:rPr>
                <w:color w:val="00274C"/>
                <w:position w:val="-2"/>
                <w:sz w:val="20"/>
                <w:szCs w:val="20"/>
                <w:u w:val="none"/>
              </w:rPr>
              <w:t xml:space="preserve"> niveau : 1h après la détection de l’anomalie</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Inducement de 2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2h après la détection de l’anomalie</w:t>
            </w:r>
          </w:p>
          <w:p>
            <w:pPr>
              <w:numPr>
                <w:ilvl w:val="0"/>
                <w:numId w:val="3346"/>
              </w:numPr>
              <w:spacing w:before="0" w:after="0" w:line="262" w:lineRule="auto"/>
              <w:jc w:val="left"/>
              <w:rPr>
                <w:color w:val="00274C"/>
                <w:sz w:val="20"/>
                <w:szCs w:val="20"/>
              </w:rPr>
            </w:pPr>
            <w:r>
              <w:rPr>
                <w:color w:val="00274C"/>
                <w:position w:val="-2"/>
                <w:sz w:val="20"/>
                <w:szCs w:val="20"/>
                <w:u w:val="none"/>
              </w:rPr>
              <w:t xml:space="preserve">Inducement de 3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3h après la détection de l’anomalie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Tableau de commande</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Dans le </w:t>
            </w:r>
            <w:r>
              <w:rPr>
                <w:b/>
                <w:bCs/>
                <w:color w:val="00274C"/>
                <w:position w:val="-2"/>
                <w:sz w:val="20"/>
                <w:szCs w:val="20"/>
                <w:u w:val="none"/>
              </w:rPr>
              <w:t xml:space="preserve">Tab. 2.8</w:t>
            </w:r>
            <w:r>
              <w:rPr>
                <w:color w:val="00274C"/>
                <w:position w:val="-2"/>
                <w:sz w:val="20"/>
                <w:szCs w:val="20"/>
                <w:u w:val="none"/>
              </w:rPr>
              <w:t xml:space="preserve">  sont indiqués les composants du tableau de commande.
</w:t>
            </w:r>
          </w:p>
          <w:p>
            <w:pPr>
              <w:widowControl w:val="on"/>
              <w:pBdr/>
              <w:spacing w:before="0" w:after="0" w:line="262" w:lineRule="auto"/>
              <w:ind w:left="0" w:right="0"/>
              <w:jc w:val="left"/>
              <w:textAlignment w:val="center"/>
            </w:pPr>
            <w:r>
              <w:rPr>
                <w:b/>
                <w:bCs/>
                <w:color w:val="00274C"/>
                <w:position w:val="-2"/>
                <w:sz w:val="20"/>
                <w:szCs w:val="20"/>
                <w:u w:val="none"/>
              </w:rPr>
              <w:b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Interrupteur d'allumage du tableau et moteur avec clé</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Écran pour consultation des données ou des erreurs du moteur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Bouton fléché de navigation dans le menu supérieur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Bouton fléché de navigation dans le menu inférieur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Bouton de sélection ou saisie des données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LED d'état de fonctionnement du moteur (verte = aucun problème rencontré)</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45575166" name="name88966925e9e9b952e"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40796925e9e9b952a"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 si la LED </w:t>
            </w:r>
            <w:r>
              <w:rPr>
                <w:b/>
                <w:bCs/>
                <w:color w:val="00274C"/>
                <w:position w:val="-2"/>
                <w:sz w:val="20"/>
                <w:szCs w:val="20"/>
                <w:u w:val="none"/>
              </w:rPr>
              <w:t xml:space="preserve">F</w:t>
            </w:r>
            <w:r>
              <w:rPr>
                <w:color w:val="00274C"/>
                <w:position w:val="-2"/>
                <w:sz w:val="20"/>
                <w:szCs w:val="20"/>
                <w:u w:val="none"/>
              </w:rPr>
              <w:t xml:space="preserve"> est allumée en rouge, consulter les ateliers autorisés </w:t>
            </w:r>
            <w:r>
              <w:rPr>
                <w:b/>
                <w:bCs/>
                <w:color w:val="00274C"/>
                <w:position w:val="-2"/>
                <w:sz w:val="20"/>
                <w:szCs w:val="20"/>
                <w:u w:val="none"/>
              </w:rPr>
              <w:t xml:space="preserve">KOHLER</w:t>
            </w:r>
            <w:r>
              <w:rPr>
                <w:color w:val="00274C"/>
                <w:position w:val="-2"/>
                <w:sz w:val="20"/>
                <w:szCs w:val="20"/>
                <w:u w:val="none"/>
              </w:rPr>
              <w:t xml:space="preserve"> pour connaître le type de problème. Pour certains problèmes, l'arrêt automatique du moteur se déclenche.</w:t>
            </w:r>
          </w:p>
          <w:p/>
          <w:p/>
          <w:p>
            <w:pPr>
              <w:widowControl w:val="on"/>
              <w:pBdr/>
              <w:spacing w:before="0" w:after="0" w:line="262" w:lineRule="auto"/>
              <w:ind w:left="0" w:right="0"/>
              <w:jc w:val="left"/>
              <w:textAlignment w:val="center"/>
            </w:pPr>
            <w:r>
              <w:rPr>
                <w:color w:val="00274C"/>
                <w:position w:val="-2"/>
                <w:sz w:val="20"/>
                <w:szCs w:val="20"/>
                <w:u w:val="none"/>
              </w:rPr>
              <w:t xml:space="preserve">Le </w:t>
            </w:r>
            <w:r>
              <w:rPr>
                <w:b/>
                <w:bCs/>
                <w:color w:val="00274C"/>
                <w:position w:val="-2"/>
                <w:sz w:val="20"/>
                <w:szCs w:val="20"/>
                <w:u w:val="none"/>
              </w:rPr>
              <w:t xml:space="preserve">Tab. 2.9</w:t>
            </w:r>
            <w:r>
              <w:rPr>
                <w:color w:val="00274C"/>
                <w:position w:val="-2"/>
                <w:sz w:val="20"/>
                <w:szCs w:val="20"/>
                <w:u w:val="none"/>
              </w:rPr>
              <w:t xml:space="preserve">  indique les données qu'il est possible de consulter à l'écran </w:t>
            </w:r>
            <w:r>
              <w:rPr>
                <w:b/>
                <w:bCs/>
                <w:color w:val="00274C"/>
                <w:position w:val="-2"/>
                <w:sz w:val="20"/>
                <w:szCs w:val="20"/>
                <w:u w:val="none"/>
              </w:rPr>
              <w:t xml:space="preserve">B</w:t>
            </w:r>
            <w:r>
              <w:rPr>
                <w:color w:val="00274C"/>
                <w:position w:val="-2"/>
                <w:sz w:val="20"/>
                <w:szCs w:val="20"/>
                <w:u w:val="none"/>
              </w:rPr>
              <w:t xml:space="preserve"> en appuyant sur les boutons </w:t>
            </w:r>
            <w:r>
              <w:rPr>
                <w:b/>
                <w:bCs/>
                <w:color w:val="00274C"/>
                <w:position w:val="-2"/>
                <w:sz w:val="20"/>
                <w:szCs w:val="20"/>
                <w:u w:val="none"/>
              </w:rPr>
              <w:t xml:space="preserve">C</w:t>
            </w:r>
            <w:r>
              <w:rPr>
                <w:color w:val="00274C"/>
                <w:position w:val="-2"/>
                <w:sz w:val="20"/>
                <w:szCs w:val="20"/>
                <w:u w:val="none"/>
              </w:rPr>
              <w:t xml:space="preserve"> ou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 les données décrites dans le </w:t>
            </w:r>
            <w:r>
              <w:rPr>
                <w:b/>
                <w:bCs/>
                <w:color w:val="00274C"/>
                <w:position w:val="-2"/>
                <w:sz w:val="20"/>
                <w:szCs w:val="20"/>
                <w:u w:val="none"/>
              </w:rPr>
              <w:t xml:space="preserve">Tab. 2.9</w:t>
            </w:r>
            <w:r>
              <w:rPr>
                <w:color w:val="00274C"/>
                <w:position w:val="-2"/>
                <w:sz w:val="20"/>
                <w:szCs w:val="20"/>
                <w:u w:val="none"/>
              </w:rPr>
              <w:t xml:space="preserve">  peuvent être différentes; dans ce cas, consulter le manuel de la machine.</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Heures de fonctionnement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Heures restantes jusqu'à l'entretien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Tours moteur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Pression huile moteur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Température du réfrigérant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Couple utilisé @ rpm (% d'utilisation)</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3349">
    <w:multiLevelType w:val="hybridMultilevel"/>
    <w:lvl w:ilvl="0" w:tplc="49543526">
      <w:start w:val="1"/>
      <w:numFmt w:val="decimal"/>
      <w:lvlText w:val="%1."/>
      <w:lvlJc w:val="left"/>
      <w:pPr>
        <w:ind w:left="720" w:hanging="360"/>
      </w:pPr>
    </w:lvl>
    <w:lvl w:ilvl="1" w:tplc="49543526" w:tentative="1">
      <w:start w:val="1"/>
      <w:numFmt w:val="lowerLetter"/>
      <w:lvlText w:val="%2."/>
      <w:lvlJc w:val="left"/>
      <w:pPr>
        <w:ind w:left="1440" w:hanging="360"/>
      </w:pPr>
    </w:lvl>
    <w:lvl w:ilvl="2" w:tplc="49543526" w:tentative="1">
      <w:start w:val="1"/>
      <w:numFmt w:val="lowerRoman"/>
      <w:lvlText w:val="%3."/>
      <w:lvlJc w:val="right"/>
      <w:pPr>
        <w:ind w:left="2160" w:hanging="180"/>
      </w:pPr>
    </w:lvl>
    <w:lvl w:ilvl="3" w:tplc="49543526" w:tentative="1">
      <w:start w:val="1"/>
      <w:numFmt w:val="decimal"/>
      <w:lvlText w:val="%4."/>
      <w:lvlJc w:val="left"/>
      <w:pPr>
        <w:ind w:left="2880" w:hanging="360"/>
      </w:pPr>
    </w:lvl>
    <w:lvl w:ilvl="4" w:tplc="49543526" w:tentative="1">
      <w:start w:val="1"/>
      <w:numFmt w:val="lowerLetter"/>
      <w:lvlText w:val="%5."/>
      <w:lvlJc w:val="left"/>
      <w:pPr>
        <w:ind w:left="3600" w:hanging="360"/>
      </w:pPr>
    </w:lvl>
    <w:lvl w:ilvl="5" w:tplc="49543526" w:tentative="1">
      <w:start w:val="1"/>
      <w:numFmt w:val="lowerRoman"/>
      <w:lvlText w:val="%6."/>
      <w:lvlJc w:val="right"/>
      <w:pPr>
        <w:ind w:left="4320" w:hanging="180"/>
      </w:pPr>
    </w:lvl>
    <w:lvl w:ilvl="6" w:tplc="49543526" w:tentative="1">
      <w:start w:val="1"/>
      <w:numFmt w:val="decimal"/>
      <w:lvlText w:val="%7."/>
      <w:lvlJc w:val="left"/>
      <w:pPr>
        <w:ind w:left="5040" w:hanging="360"/>
      </w:pPr>
    </w:lvl>
    <w:lvl w:ilvl="7" w:tplc="49543526" w:tentative="1">
      <w:start w:val="1"/>
      <w:numFmt w:val="lowerLetter"/>
      <w:lvlText w:val="%8."/>
      <w:lvlJc w:val="left"/>
      <w:pPr>
        <w:ind w:left="5760" w:hanging="360"/>
      </w:pPr>
    </w:lvl>
    <w:lvl w:ilvl="8" w:tplc="49543526" w:tentative="1">
      <w:start w:val="1"/>
      <w:numFmt w:val="lowerRoman"/>
      <w:lvlText w:val="%9."/>
      <w:lvlJc w:val="right"/>
      <w:pPr>
        <w:ind w:left="6480" w:hanging="180"/>
      </w:pPr>
    </w:lvl>
  </w:abstractNum>
  <w:abstractNum w:abstractNumId="3348">
    <w:multiLevelType w:val="hybridMultilevel"/>
    <w:lvl w:ilvl="0" w:tplc="67631240">
      <w:start w:val="1"/>
      <w:numFmt w:val="decimal"/>
      <w:lvlText w:val="%1."/>
      <w:lvlJc w:val="left"/>
      <w:pPr>
        <w:ind w:left="720" w:hanging="360"/>
      </w:pPr>
    </w:lvl>
    <w:lvl w:ilvl="1" w:tplc="67631240" w:tentative="1">
      <w:start w:val="1"/>
      <w:numFmt w:val="lowerLetter"/>
      <w:lvlText w:val="%2."/>
      <w:lvlJc w:val="left"/>
      <w:pPr>
        <w:ind w:left="1440" w:hanging="360"/>
      </w:pPr>
    </w:lvl>
    <w:lvl w:ilvl="2" w:tplc="67631240" w:tentative="1">
      <w:start w:val="1"/>
      <w:numFmt w:val="lowerRoman"/>
      <w:lvlText w:val="%3."/>
      <w:lvlJc w:val="right"/>
      <w:pPr>
        <w:ind w:left="2160" w:hanging="180"/>
      </w:pPr>
    </w:lvl>
    <w:lvl w:ilvl="3" w:tplc="67631240" w:tentative="1">
      <w:start w:val="1"/>
      <w:numFmt w:val="decimal"/>
      <w:lvlText w:val="%4."/>
      <w:lvlJc w:val="left"/>
      <w:pPr>
        <w:ind w:left="2880" w:hanging="360"/>
      </w:pPr>
    </w:lvl>
    <w:lvl w:ilvl="4" w:tplc="67631240" w:tentative="1">
      <w:start w:val="1"/>
      <w:numFmt w:val="lowerLetter"/>
      <w:lvlText w:val="%5."/>
      <w:lvlJc w:val="left"/>
      <w:pPr>
        <w:ind w:left="3600" w:hanging="360"/>
      </w:pPr>
    </w:lvl>
    <w:lvl w:ilvl="5" w:tplc="67631240" w:tentative="1">
      <w:start w:val="1"/>
      <w:numFmt w:val="lowerRoman"/>
      <w:lvlText w:val="%6."/>
      <w:lvlJc w:val="right"/>
      <w:pPr>
        <w:ind w:left="4320" w:hanging="180"/>
      </w:pPr>
    </w:lvl>
    <w:lvl w:ilvl="6" w:tplc="67631240" w:tentative="1">
      <w:start w:val="1"/>
      <w:numFmt w:val="decimal"/>
      <w:lvlText w:val="%7."/>
      <w:lvlJc w:val="left"/>
      <w:pPr>
        <w:ind w:left="5040" w:hanging="360"/>
      </w:pPr>
    </w:lvl>
    <w:lvl w:ilvl="7" w:tplc="67631240" w:tentative="1">
      <w:start w:val="1"/>
      <w:numFmt w:val="lowerLetter"/>
      <w:lvlText w:val="%8."/>
      <w:lvlJc w:val="left"/>
      <w:pPr>
        <w:ind w:left="5760" w:hanging="360"/>
      </w:pPr>
    </w:lvl>
    <w:lvl w:ilvl="8" w:tplc="67631240" w:tentative="1">
      <w:start w:val="1"/>
      <w:numFmt w:val="lowerRoman"/>
      <w:lvlText w:val="%9."/>
      <w:lvlJc w:val="right"/>
      <w:pPr>
        <w:ind w:left="6480" w:hanging="180"/>
      </w:pPr>
    </w:lvl>
  </w:abstractNum>
  <w:abstractNum w:abstractNumId="3347">
    <w:multiLevelType w:val="hybridMultilevel"/>
    <w:lvl w:ilvl="0" w:tplc="58191811">
      <w:start w:val="1"/>
      <w:numFmt w:val="decimal"/>
      <w:lvlText w:val="%1."/>
      <w:lvlJc w:val="left"/>
      <w:pPr>
        <w:ind w:left="720" w:hanging="360"/>
      </w:pPr>
    </w:lvl>
    <w:lvl w:ilvl="1" w:tplc="58191811" w:tentative="1">
      <w:start w:val="1"/>
      <w:numFmt w:val="lowerLetter"/>
      <w:lvlText w:val="%2."/>
      <w:lvlJc w:val="left"/>
      <w:pPr>
        <w:ind w:left="1440" w:hanging="360"/>
      </w:pPr>
    </w:lvl>
    <w:lvl w:ilvl="2" w:tplc="58191811" w:tentative="1">
      <w:start w:val="1"/>
      <w:numFmt w:val="lowerRoman"/>
      <w:lvlText w:val="%3."/>
      <w:lvlJc w:val="right"/>
      <w:pPr>
        <w:ind w:left="2160" w:hanging="180"/>
      </w:pPr>
    </w:lvl>
    <w:lvl w:ilvl="3" w:tplc="58191811" w:tentative="1">
      <w:start w:val="1"/>
      <w:numFmt w:val="decimal"/>
      <w:lvlText w:val="%4."/>
      <w:lvlJc w:val="left"/>
      <w:pPr>
        <w:ind w:left="2880" w:hanging="360"/>
      </w:pPr>
    </w:lvl>
    <w:lvl w:ilvl="4" w:tplc="58191811" w:tentative="1">
      <w:start w:val="1"/>
      <w:numFmt w:val="lowerLetter"/>
      <w:lvlText w:val="%5."/>
      <w:lvlJc w:val="left"/>
      <w:pPr>
        <w:ind w:left="3600" w:hanging="360"/>
      </w:pPr>
    </w:lvl>
    <w:lvl w:ilvl="5" w:tplc="58191811" w:tentative="1">
      <w:start w:val="1"/>
      <w:numFmt w:val="lowerRoman"/>
      <w:lvlText w:val="%6."/>
      <w:lvlJc w:val="right"/>
      <w:pPr>
        <w:ind w:left="4320" w:hanging="180"/>
      </w:pPr>
    </w:lvl>
    <w:lvl w:ilvl="6" w:tplc="58191811" w:tentative="1">
      <w:start w:val="1"/>
      <w:numFmt w:val="decimal"/>
      <w:lvlText w:val="%7."/>
      <w:lvlJc w:val="left"/>
      <w:pPr>
        <w:ind w:left="5040" w:hanging="360"/>
      </w:pPr>
    </w:lvl>
    <w:lvl w:ilvl="7" w:tplc="58191811" w:tentative="1">
      <w:start w:val="1"/>
      <w:numFmt w:val="lowerLetter"/>
      <w:lvlText w:val="%8."/>
      <w:lvlJc w:val="left"/>
      <w:pPr>
        <w:ind w:left="5760" w:hanging="360"/>
      </w:pPr>
    </w:lvl>
    <w:lvl w:ilvl="8" w:tplc="58191811" w:tentative="1">
      <w:start w:val="1"/>
      <w:numFmt w:val="lowerRoman"/>
      <w:lvlText w:val="%9."/>
      <w:lvlJc w:val="right"/>
      <w:pPr>
        <w:ind w:left="6480" w:hanging="180"/>
      </w:pPr>
    </w:lvl>
  </w:abstractNum>
  <w:abstractNum w:abstractNumId="3346">
    <w:multiLevelType w:val="hybridMultilevel"/>
    <w:lvl w:ilvl="0" w:tplc="421752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3346">
    <w:abstractNumId w:val="3346"/>
  </w:num>
  <w:num w:numId="3347">
    <w:abstractNumId w:val="3347"/>
  </w:num>
  <w:num w:numId="3348">
    <w:abstractNumId w:val="3348"/>
  </w:num>
  <w:num w:numId="3349">
    <w:abstractNumId w:val="33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70018585" Type="http://schemas.openxmlformats.org/officeDocument/2006/relationships/comments" Target="comments.xml"/><Relationship Id="rId234237297" Type="http://schemas.microsoft.com/office/2011/relationships/commentsExtended" Target="commentsExtended.xml"/><Relationship Id="rId39112326" Type="http://schemas.openxmlformats.org/officeDocument/2006/relationships/image" Target="media/imgrId39112326.jpg"/><Relationship Id="rId87286925e9e962179" Type="http://schemas.openxmlformats.org/officeDocument/2006/relationships/image" Target="media/imgrId87286925e9e962179.png"/><Relationship Id="rId13166925e9e96930d" Type="http://schemas.openxmlformats.org/officeDocument/2006/relationships/image" Target="media/imgrId13166925e9e96930d.jpg"/><Relationship Id="rId89816925e9e96e2c6" Type="http://schemas.openxmlformats.org/officeDocument/2006/relationships/image" Target="media/imgrId89816925e9e96e2c6.jpg"/><Relationship Id="rId41436925e9e97b0b6" Type="http://schemas.openxmlformats.org/officeDocument/2006/relationships/image" Target="media/imgrId41436925e9e97b0b6.png"/><Relationship Id="rId15136925e9e982b84" Type="http://schemas.openxmlformats.org/officeDocument/2006/relationships/image" Target="media/imgrId15136925e9e982b84.png"/><Relationship Id="rId26826925e9e9923d8" Type="http://schemas.openxmlformats.org/officeDocument/2006/relationships/image" Target="media/imgrId26826925e9e9923d8.png"/><Relationship Id="rId13776925e9e99fa5e" Type="http://schemas.openxmlformats.org/officeDocument/2006/relationships/image" Target="media/imgrId13776925e9e99fa5e.png"/><Relationship Id="rId40796925e9e9b952a" Type="http://schemas.openxmlformats.org/officeDocument/2006/relationships/image" Target="media/imgrId40796925e9e9b952a.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39112326" Type="http://schemas.openxmlformats.org/officeDocument/2006/relationships/image" Target="media/imgrId39112326.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39112326" Type="http://schemas.openxmlformats.org/officeDocument/2006/relationships/image" Target="media/imgrId39112326.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39112326" Type="http://schemas.openxmlformats.org/officeDocument/2006/relationships/image" Target="media/imgrId39112326.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39112326" Type="http://schemas.openxmlformats.org/officeDocument/2006/relationships/image" Target="media/imgrId39112326.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39112326" Type="http://schemas.openxmlformats.org/officeDocument/2006/relationships/image" Target="media/imgrId39112326.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39112326" Type="http://schemas.openxmlformats.org/officeDocument/2006/relationships/image" Target="media/imgrId39112326.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