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Teknisk information</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2504 M-MP Owner Manual (Rev.01)</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943706972"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34651034"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Technical Documentation</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ED0053030860</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05.1</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02/2016</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04/2023</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M. SILVESTRONE</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C. TAGLIAVINI</w:t>
            </w: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DD1E42" w:rsidP="00342EC8">
          <w:pPr>
            <w:pStyle w:val="Sommario2"/>
          </w:pPr>
          <w:hyperlink w:anchor="_Toc495648771" w:history="1">
            <w:r w:rsidRPr="004252A1">
              <w:rPr>
                <w:rStyle w:val="Collegamentoipertestuale"/>
              </w:rPr>
              <w:t>1.1.</w:t>
            </w:r>
            <w:r>
              <w:tab/>
            </w:r>
            <w:r w:rsidRPr="004252A1">
              <w:rPr>
                <w:rStyle w:val="Collegamentoipertestuale"/>
              </w:rPr>
              <w:t>Asdfsdfsdf</w:t>
            </w:r>
            <w:r>
              <w:rPr>
                <w:webHidden/>
              </w:rPr>
              <w:tab/>
            </w:r>
            <w:r>
              <w:rPr>
                <w:webHidden/>
              </w:rPr>
              <w:fldChar w:fldCharType="begin"/>
            </w:r>
            <w:r>
              <w:rPr>
                <w:webHidden/>
              </w:rPr>
              <w:instrText xml:space="preserve"> PAGEREF _Toc495648771 \h </w:instrText>
            </w:r>
            <w:r>
              <w:rPr>
                <w:webHidden/>
              </w:rPr>
            </w:r>
            <w:r>
              <w:rPr>
                <w:webHidden/>
              </w:rPr>
              <w:fldChar w:fldCharType="separate"/>
            </w:r>
            <w:r>
              <w:rPr>
                <w:webHidden/>
              </w:rPr>
              <w:t>2</w:t>
            </w:r>
            <w:r>
              <w:rPr>
                <w:webHidden/>
              </w:rPr>
              <w:fldChar w:fldCharType="end"/>
            </w:r>
          </w:hyperlink>
        </w:p>
        <w:p w14:paraId="262B9106" w14:textId="77777777" w:rsidR="00DD1E42" w:rsidRDefault="00DD1E42" w:rsidP="00342EC8">
          <w:pPr>
            <w:pStyle w:val="Sommario2"/>
          </w:pPr>
          <w:hyperlink w:anchor="_Toc495648772" w:history="1">
            <w:r w:rsidRPr="004252A1">
              <w:rPr>
                <w:rStyle w:val="Collegamentoipertestuale"/>
              </w:rPr>
              <w:t>1.2.</w:t>
            </w:r>
            <w:r>
              <w:tab/>
            </w:r>
            <w:r w:rsidRPr="004252A1">
              <w:rPr>
                <w:rStyle w:val="Collegamentoipertestuale"/>
              </w:rPr>
              <w:t>Asdfsdfsdfggg</w:t>
            </w:r>
            <w:r>
              <w:rPr>
                <w:webHidden/>
              </w:rPr>
              <w:tab/>
            </w:r>
            <w:r>
              <w:rPr>
                <w:webHidden/>
              </w:rPr>
              <w:fldChar w:fldCharType="begin"/>
            </w:r>
            <w:r>
              <w:rPr>
                <w:webHidden/>
              </w:rPr>
              <w:instrText xml:space="preserve"> PAGEREF _Toc495648772 \h </w:instrText>
            </w:r>
            <w:r>
              <w:rPr>
                <w:webHidden/>
              </w:rPr>
            </w:r>
            <w:r>
              <w:rPr>
                <w:webHidden/>
              </w:rPr>
              <w:fldChar w:fldCharType="separate"/>
            </w:r>
            <w:r>
              <w:rPr>
                <w:webHidden/>
              </w:rPr>
              <w:t>2</w:t>
            </w:r>
            <w:r>
              <w:rPr>
                <w:webHidden/>
              </w:rPr>
              <w:fldChar w:fldCharType="end"/>
            </w:r>
          </w:hyperlink>
        </w:p>
        <w:p w14:paraId="25518D28" w14:textId="2CD18CDE" w:rsidR="00663448" w:rsidRDefault="00DD1E42" w:rsidP="00663448">
          <w:r>
            <w:rPr>
              <w:b/>
              <w:bCs/>
            </w:rPr>
            <w:fldChar w:fldCharType="end"/>
          </w:r>
        </w:p>
      </w:sdtContent>
    </w:sdt>
    <w:p w14:paraId="4D4ED4FA" w14:textId="77777777" w:rsidR="00663448" w:rsidRDefault="00663448" w:rsidP="00CC2880"/>
    <w:p w14:paraId="49417C56" w14:textId="77777777" w:rsidR="00663448" w:rsidRDefault="00663448" w:rsidP="00CC2880">
      <w:pPr>
        <w:sectPr w:rsidR="00663448"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99132736" w:name="ctxt"/>
    <w:bookmarkEnd w:id="99132736"/>
    <w:p>
      <w:pPr>
        <w:widowControl w:val="on"/>
        <w:pBdr/>
        <w:spacing w:before="75" w:after="75" w:line="240" w:lineRule="auto"/>
        <w:ind w:left="75" w:right="75"/>
        <w:jc w:val="left"/>
      </w:pPr>
    </w:p>
    <w:p>
      <w:pPr>
        <w:pStyle w:val="Titolo1"/>
      </w:pPr>
      <w:r>
        <w:rPr/>
        <w:t xml:space="preserve">Technical information</w:t>
      </w:r>
    </w:p>
    <w:p>
      <w:pPr>
        <w:widowControl w:val="on"/>
        <w:pBdr/>
        <w:spacing w:before="0" w:after="0" w:line="240" w:lineRule="auto"/>
        <w:ind w:left="0" w:right="0"/>
        <w:jc w:val="left"/>
      </w:pPr>
    </w:p>
    <w:p>
      <w:pPr>
        <w:pStyle w:val="Titolo2"/>
      </w:pPr>
      <w:r>
        <w:rPr/>
        <w:t xml:space="preserve">General description of the engine</w:t>
      </w:r>
    </w:p>
    <w:p>
      <w:pPr>
        <w:widowControl w:val="on"/>
        <w:pBdr/>
        <w:spacing w:before="0" w:after="0" w:line="262" w:lineRule="auto"/>
        <w:ind w:left="0" w:right="0"/>
        <w:jc w:val="left"/>
      </w:pPr>
      <w:r>
        <w:rPr>
          <w:color w:val="00274C"/>
          <w:sz w:val="20"/>
          <w:szCs w:val="20"/>
          <w:u w:val="none"/>
        </w:rPr>
        <w:t xml:space="preserve">- 4-stroke, in-line cylinders Diesel engine; -Liquid-cooling system;</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- 4 valves per cylinder with hydraulic tappets;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 Direct Injection.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specifications</w:t>
      </w:r>
    </w:p>
    <w:p>
      <w:pPr>
        <w:widowControl w:val="on"/>
        <w:pBdr/>
        <w:spacing w:before="0" w:after="0" w:line="262" w:lineRule="auto"/>
        <w:ind w:left="0" w:right="0"/>
        <w:jc w:val="left"/>
      </w:pPr>
      <w:r>
        <w:rPr>
          <w:b/>
          <w:bCs/>
          <w:color w:val="00274C"/>
          <w:sz w:val="20"/>
          <w:szCs w:val="20"/>
          <w:u w:val="none"/>
        </w:rPr>
        <w:t xml:space="preserve">Tab. 2.1</w:t>
      </w:r>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br/>
              <w:t xml:space="preserve">TECHNICAL DATA</w:t>
            </w:r>
          </w:p>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br/>
              <w:t xml:space="preserve">UNIT</w:t>
            </w:r>
            <w:r>
              <w:rPr>
                <w:b/>
                <w:bCs/>
                <w:color w:val="FFFFFF"/>
                <w:position w:val="-2"/>
                <w:sz w:val="20"/>
                <w:szCs w:val="20"/>
                <w:u w:val="none"/>
                <w:shd w:val="clear" w:color="auto" w:fill="00274C"/>
              </w:rPr>
              <w:br/>
              <w:t xml:space="preserve">OF MEASURE</w:t>
            </w:r>
          </w:p>
          <w:p/>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r>
              <w:rPr>
                <w:position w:val="-38"/>
              </w:rPr>
              <w:drawing>
                <wp:inline distT="0" distB="0" distL="0" distR="0">
                  <wp:extent cx="720000" cy="554400"/>
                  <wp:effectExtent b="0" l="0" r="0" t="0"/>
                  <wp:docPr id="59142829" name="name4584699daa12de4fc" descr="2504m_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04m_mp.jpg"/>
                          <pic:cNvPicPr/>
                        </pic:nvPicPr>
                        <pic:blipFill>
                          <a:blip r:embed="rId8454699daa12de4f6" cstate="print"/>
                          <a:stretch>
                            <a:fillRect/>
                          </a:stretch>
                        </pic:blipFill>
                        <pic:spPr>
                          <a:xfrm>
                            <a:off x="0" y="0"/>
                            <a:ext cx="720000" cy="554400"/>
                          </a:xfrm>
                          <a:prstGeom prst="rect">
                            <a:avLst/>
                          </a:prstGeom>
                          <a:ln w="0">
                            <a:noFill/>
                          </a:ln>
                        </pic:spPr>
                      </pic:pic>
                    </a:graphicData>
                  </a:graphic>
                </wp:inline>
              </w:drawing>
            </w:r>
          </w:p>
        </w:tc>
      </w:tr>
      <w:tr>
        <w:trPr>
          <w:trHeight w:val="0" w:hRule="atLeast"/>
        </w:trPr>
        <w:tc>
          <w:tcPr>
            <w:tcW w:w="0" w:type="auto"/>
            <w:gridSpan w:val="3"/>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Engine type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KDI 2504 M-MP</w:t>
            </w:r>
          </w:p>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Cylinders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4</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Bore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88</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Stroke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102</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Displacement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2482</w:t>
            </w:r>
          </w:p>
        </w:tc>
      </w:tr>
      <w:tr>
        <w:trPr>
          <w:trHeight w:val="0" w:hRule="atLeast"/>
        </w:trPr>
        <w:tc>
          <w:tcPr>
            <w:tcW w:w="0" w:type="auto"/>
            <w:gridSpan w:val="2"/>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b/>
                <w:bCs/>
                <w:color w:val="00274C"/>
                <w:position w:val="-2"/>
                <w:sz w:val="20"/>
                <w:szCs w:val="20"/>
                <w:u w:val="none"/>
                <w:shd w:val="clear" w:color="auto" w:fill="E1E2E0"/>
              </w:rPr>
              <w:t xml:space="preserve">MAX INCLINATION DURING OPERATION (even in combined)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35° MAX ( </w:t>
            </w:r>
            <w:bookmarkStart w:id="9605788" w:name="result_box"/>
            <w:bookmarkEnd w:id="9605788"/>
            <w:r>
              <w:rPr>
                <w:color w:val="00274C"/>
                <w:position w:val="-2"/>
                <w:sz w:val="20"/>
                <w:szCs w:val="20"/>
                <w:u w:val="none"/>
                <w:shd w:val="clear" w:color="auto" w:fill="E1E2E0"/>
              </w:rPr>
              <w:t xml:space="preserve">transversal)</w:t>
            </w:r>
          </w:p>
        </w:tc>
      </w:tr>
      <w:tr>
        <w:trPr>
          <w:trHeight w:val="0" w:hRule="atLeast"/>
        </w:trPr>
        <w:tc>
          <w:tcPr>
            <w:gridSpan w:val="2"/>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15° MAX (longitudinal)</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b/>
                <w:bCs/>
                <w:color w:val="00274C"/>
                <w:position w:val="-2"/>
                <w:sz w:val="20"/>
                <w:szCs w:val="20"/>
                <w:u w:val="none"/>
                <w:shd w:val="clear" w:color="auto" w:fill="E1E2E0"/>
              </w:rPr>
              <w:t xml:space="preserve">OIL CAPACITY (MAX level.) including oil filter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standard version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11.5</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DRY WEIGHT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300</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dimensions (mm) - with TMC 260 reversing gear</w:t>
      </w:r>
    </w:p>
    <w:p>
      <w:pPr>
        <w:widowControl w:val="on"/>
        <w:pBdr/>
        <w:spacing w:before="225" w:after="225" w:line="262" w:lineRule="auto"/>
        <w:ind w:left="0" w:right="0"/>
        <w:jc w:val="left"/>
      </w:pPr>
      <w:r>
        <w:drawing>
          <wp:inline distT="0" distB="0" distL="0" distR="0">
            <wp:extent cx="4824000" cy="2851200"/>
            <wp:effectExtent b="0" l="0" r="0" t="0"/>
            <wp:docPr id="41467231" name="name8205699daa12efeb9" descr="2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_1.jpg"/>
                    <pic:cNvPicPr/>
                  </pic:nvPicPr>
                  <pic:blipFill>
                    <a:blip r:embed="rId4839699daa12efeb3" cstate="print"/>
                    <a:stretch>
                      <a:fillRect/>
                    </a:stretch>
                  </pic:blipFill>
                  <pic:spPr>
                    <a:xfrm>
                      <a:off x="0" y="0"/>
                      <a:ext cx="4824000" cy="2851200"/>
                    </a:xfrm>
                    <a:prstGeom prst="rect">
                      <a:avLst/>
                    </a:prstGeom>
                    <a:ln w="0">
                      <a:noFill/>
                    </a:ln>
                  </pic:spPr>
                </pic:pic>
              </a:graphicData>
            </a:graphic>
          </wp:inline>
        </w:drawing>
      </w:r>
    </w:p>
    <w:p>
      <w:pPr>
        <w:widowControl w:val="on"/>
        <w:pBdr/>
        <w:spacing w:before="0" w:after="0" w:line="262" w:lineRule="auto"/>
        <w:ind w:left="0" w:right="0"/>
        <w:jc w:val="left"/>
      </w:pPr>
      <w:r>
        <w:rPr>
          <w:b/>
          <w:bCs/>
          <w:color w:val="00274C"/>
          <w:sz w:val="20"/>
          <w:szCs w:val="20"/>
          <w:u w:val="none"/>
        </w:rPr>
        <w:t xml:space="preserve">Fig. 2.1</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Oil</w:t>
      </w:r>
    </w:p>
    <w:p>
      <w:pPr>
        <w:widowControl w:val="on"/>
        <w:pBdr/>
        <w:spacing w:before="0" w:after="0" w:line="240" w:lineRule="auto"/>
        <w:ind w:left="0" w:right="0"/>
        <w:jc w:val="left"/>
      </w:pPr>
      <w:r>
        <w:rPr>
          <w:b/>
          <w:bCs/>
          <w:color w:val="00274C"/>
          <w:sz w:val="20"/>
          <w:szCs w:val="20"/>
          <w:u w:val="none"/>
        </w:rPr>
        <w:t xml:space="preserve">2.4.1 Engine oil</w:t>
      </w:r>
    </w:p>
    <w:p>
      <w:pPr>
        <w:widowControl w:val="on"/>
        <w:pBdr/>
        <w:spacing w:before="0" w:after="0" w:line="240"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23710297" name="name1808699daa1302494"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7690699daa130248f"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Important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numPr>
          <w:ilvl w:val="0"/>
          <w:numId w:val="24050"/>
        </w:numPr>
        <w:spacing w:before="0" w:after="0" w:line="240" w:lineRule="auto"/>
        <w:jc w:val="left"/>
        <w:rPr>
          <w:color w:val="00274C"/>
          <w:sz w:val="20"/>
          <w:szCs w:val="20"/>
        </w:rPr>
      </w:pPr>
      <w:r>
        <w:rPr>
          <w:color w:val="00274C"/>
          <w:sz w:val="20"/>
          <w:szCs w:val="20"/>
          <w:u w:val="none"/>
        </w:rPr>
        <w:t xml:space="preserve">The engine may be damaged if operated with improper oil level.</w:t>
      </w:r>
    </w:p>
    <w:p>
      <w:pPr>
        <w:numPr>
          <w:ilvl w:val="0"/>
          <w:numId w:val="24050"/>
        </w:numPr>
        <w:spacing w:before="0" w:after="0" w:line="240" w:lineRule="auto"/>
        <w:jc w:val="left"/>
        <w:rPr>
          <w:color w:val="00274C"/>
          <w:sz w:val="20"/>
          <w:szCs w:val="20"/>
        </w:rPr>
      </w:pPr>
      <w:r>
        <w:rPr>
          <w:color w:val="00274C"/>
          <w:sz w:val="20"/>
          <w:szCs w:val="20"/>
          <w:u w:val="none"/>
        </w:rPr>
        <w:t xml:space="preserve">Do not exceed the </w:t>
      </w:r>
      <w:r>
        <w:rPr>
          <w:b/>
          <w:bCs/>
          <w:color w:val="00274C"/>
          <w:sz w:val="20"/>
          <w:szCs w:val="20"/>
          <w:u w:val="none"/>
        </w:rPr>
        <w:t xml:space="preserve">MAX</w:t>
      </w:r>
      <w:r>
        <w:rPr>
          <w:color w:val="00274C"/>
          <w:sz w:val="20"/>
          <w:szCs w:val="20"/>
          <w:u w:val="none"/>
        </w:rPr>
        <w:t xml:space="preserve"> level because a sudden increase in engine rpm could be caused by its combustion.</w:t>
      </w:r>
    </w:p>
    <w:p>
      <w:pPr>
        <w:numPr>
          <w:ilvl w:val="0"/>
          <w:numId w:val="24050"/>
        </w:numPr>
        <w:spacing w:before="0" w:after="0" w:line="240" w:lineRule="auto"/>
        <w:jc w:val="left"/>
        <w:rPr>
          <w:color w:val="00274C"/>
          <w:sz w:val="20"/>
          <w:szCs w:val="20"/>
        </w:rPr>
      </w:pPr>
      <w:r>
        <w:rPr>
          <w:color w:val="00274C"/>
          <w:sz w:val="20"/>
          <w:szCs w:val="20"/>
          <w:u w:val="none"/>
        </w:rPr>
        <w:t xml:space="preserve">Use only the recommended oil to ensure adequate protection, efficiency and service life of the engine.</w:t>
      </w:r>
    </w:p>
    <w:p>
      <w:pPr>
        <w:numPr>
          <w:ilvl w:val="0"/>
          <w:numId w:val="24050"/>
        </w:numPr>
        <w:spacing w:before="0" w:after="0" w:line="240" w:lineRule="auto"/>
        <w:jc w:val="left"/>
        <w:rPr>
          <w:color w:val="00274C"/>
          <w:sz w:val="20"/>
          <w:szCs w:val="20"/>
        </w:rPr>
      </w:pPr>
      <w:r>
        <w:rPr>
          <w:color w:val="00274C"/>
          <w:sz w:val="20"/>
          <w:szCs w:val="20"/>
          <w:u w:val="none"/>
        </w:rPr>
        <w:t xml:space="preserve">The use of lubricants other than recommended may shorten the engine life.</w:t>
      </w:r>
    </w:p>
    <w:p>
      <w:pPr>
        <w:numPr>
          <w:ilvl w:val="0"/>
          <w:numId w:val="24050"/>
        </w:numPr>
        <w:spacing w:before="0" w:after="0" w:line="240" w:lineRule="auto"/>
        <w:jc w:val="left"/>
        <w:rPr>
          <w:color w:val="00274C"/>
          <w:sz w:val="20"/>
          <w:szCs w:val="20"/>
        </w:rPr>
      </w:pPr>
      <w:r>
        <w:rPr>
          <w:color w:val="00274C"/>
          <w:sz w:val="20"/>
          <w:szCs w:val="20"/>
          <w:u w:val="none"/>
        </w:rPr>
        <w:t xml:space="preserve">Viscosity must be appropriate to the ambient temperature to which the engine is to be exposed ( </w:t>
      </w:r>
      <w:r>
        <w:rPr>
          <w:b/>
          <w:bCs/>
          <w:color w:val="00274C"/>
          <w:sz w:val="20"/>
          <w:szCs w:val="20"/>
          <w:u w:val="none"/>
        </w:rPr>
        <w:t xml:space="preserve">Par. 2.4.1.1</w:t>
      </w: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31529808" name="name9430699daa130a88b"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6681699daa130a887"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Danger</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24050"/>
        </w:numPr>
        <w:spacing w:before="0" w:after="0" w:line="240" w:lineRule="auto"/>
        <w:jc w:val="left"/>
        <w:rPr>
          <w:color w:val="00274C"/>
          <w:sz w:val="20"/>
          <w:szCs w:val="20"/>
        </w:rPr>
      </w:pPr>
      <w:r>
        <w:rPr>
          <w:color w:val="00274C"/>
          <w:sz w:val="20"/>
          <w:szCs w:val="20"/>
          <w:u w:val="none"/>
        </w:rPr>
        <w:t xml:space="preserve">Prolonged skin contact with the exhausted engine oil can cause cancer of the skin.</w:t>
      </w:r>
    </w:p>
    <w:p>
      <w:pPr>
        <w:numPr>
          <w:ilvl w:val="0"/>
          <w:numId w:val="24050"/>
        </w:numPr>
        <w:spacing w:before="0" w:after="0" w:line="240" w:lineRule="auto"/>
        <w:jc w:val="left"/>
        <w:rPr>
          <w:color w:val="00274C"/>
          <w:sz w:val="20"/>
          <w:szCs w:val="20"/>
        </w:rPr>
      </w:pPr>
      <w:r>
        <w:rPr>
          <w:color w:val="00274C"/>
          <w:sz w:val="20"/>
          <w:szCs w:val="20"/>
          <w:u w:val="none"/>
        </w:rPr>
        <w:t xml:space="preserve">If contact with oil cannot be avoided, thoroughly wash your hands with soap and water as soon as possible.</w:t>
      </w:r>
    </w:p>
    <w:p>
      <w:pPr>
        <w:numPr>
          <w:ilvl w:val="0"/>
          <w:numId w:val="24050"/>
        </w:numPr>
        <w:spacing w:before="0" w:after="0" w:line="240" w:lineRule="auto"/>
        <w:jc w:val="left"/>
        <w:rPr>
          <w:color w:val="00274C"/>
          <w:sz w:val="20"/>
          <w:szCs w:val="20"/>
        </w:rPr>
      </w:pPr>
      <w:r>
        <w:rPr>
          <w:color w:val="00274C"/>
          <w:sz w:val="20"/>
          <w:szCs w:val="20"/>
          <w:u w:val="none"/>
        </w:rPr>
        <w:t xml:space="preserve">For the exhausted oil disposal, refer to the </w:t>
      </w:r>
      <w:hyperlink r:id="rId5314699daa130b4a9" w:history="1">
        <w:r>
          <w:rPr>
            <w:rStyle w:val="DefaultParagraphFontPHPDOCX"/>
            <w:b/>
            <w:bCs/>
            <w:color w:val="0000FF"/>
            <w:sz w:val="20"/>
            <w:szCs w:val="20"/>
            <w:u w:val="none"/>
          </w:rPr>
          <w:t xml:space="preserve">Par. 6.9</w:t>
        </w:r>
      </w:hyperlink>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br/>
        <w:t xml:space="preserve">2.4.1.1 SAE oil classification</w:t>
      </w:r>
    </w:p>
    <w:p>
      <w:pPr>
        <w:numPr>
          <w:ilvl w:val="0"/>
          <w:numId w:val="24050"/>
        </w:numPr>
        <w:spacing w:before="0" w:after="0" w:line="240" w:lineRule="auto"/>
        <w:jc w:val="left"/>
        <w:rPr>
          <w:color w:val="00274C"/>
          <w:sz w:val="20"/>
          <w:szCs w:val="20"/>
        </w:rPr>
      </w:pPr>
      <w:r>
        <w:rPr>
          <w:color w:val="00274C"/>
          <w:sz w:val="20"/>
          <w:szCs w:val="20"/>
          <w:u w:val="none"/>
        </w:rPr>
        <w:t xml:space="preserve">In the SAE classification, oils are identified according to viscosity without considering any other qualitative characteristic.</w:t>
      </w:r>
    </w:p>
    <w:p>
      <w:pPr>
        <w:numPr>
          <w:ilvl w:val="0"/>
          <w:numId w:val="24050"/>
        </w:numPr>
        <w:spacing w:before="0" w:after="0" w:line="240" w:lineRule="auto"/>
        <w:jc w:val="left"/>
        <w:rPr>
          <w:color w:val="00274C"/>
          <w:sz w:val="20"/>
          <w:szCs w:val="20"/>
        </w:rPr>
      </w:pPr>
      <w:r>
        <w:rPr>
          <w:color w:val="00274C"/>
          <w:sz w:val="20"/>
          <w:szCs w:val="20"/>
          <w:u w:val="none"/>
        </w:rPr>
        <w:t xml:space="preserve">The code is composed of two numbers, which indicate, and must correspond to, the ambient temperature in which the engine operates, the first number refers to the viscosity when cold, for use during winter (" </w:t>
      </w:r>
      <w:r>
        <w:rPr>
          <w:b/>
          <w:bCs/>
          <w:color w:val="00274C"/>
          <w:sz w:val="20"/>
          <w:szCs w:val="20"/>
          <w:u w:val="none"/>
        </w:rPr>
        <w:t xml:space="preserve">W</w:t>
      </w:r>
      <w:r>
        <w:rPr>
          <w:color w:val="00274C"/>
          <w:sz w:val="20"/>
          <w:szCs w:val="20"/>
          <w:u w:val="none"/>
        </w:rPr>
        <w:t xml:space="preserve"> "), while the second number is for viscosity at high temperatures.</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Use oil viscosity based on the experienced air temperature range during the period between oil changes as indicated</w:t>
      </w:r>
    </w:p>
    <w:p>
      <w:pPr>
        <w:widowControl w:val="on"/>
        <w:pBdr/>
        <w:spacing w:before="0" w:after="0" w:line="262" w:lineRule="auto"/>
        <w:ind w:left="0" w:right="0"/>
        <w:jc w:val="left"/>
      </w:pPr>
      <w:r>
        <w:rPr>
          <w:color w:val="00274C"/>
          <w:sz w:val="20"/>
          <w:szCs w:val="20"/>
          <w:u w:val="none"/>
        </w:rPr>
        <w:t xml:space="preserve">in the table below.</w:t>
      </w:r>
    </w:p>
    <w:p>
      <w:pPr>
        <w:widowControl w:val="on"/>
        <w:pBdr/>
        <w:spacing w:before="0" w:after="0" w:line="262" w:lineRule="auto"/>
        <w:ind w:left="0" w:right="0"/>
        <w:jc w:val="left"/>
      </w:pPr>
      <w:r>
        <w:rPr>
          <w:b/>
          <w:bCs/>
          <w:color w:val="00274C"/>
          <w:sz w:val="20"/>
          <w:szCs w:val="20"/>
          <w:u w:val="none"/>
        </w:rPr>
        <w:t xml:space="preserve">Kohler / Rehlko X-treme 10W-40 formula pro; X-treme 10W-40; X-treme 5W-40 oil are preferred:</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tblGrid>
      <w:tr>
        <w:trPr>
          <w:trHeight w:val="0" w:hRule="atLeast"/>
        </w:trPr>
        <w:tc>
          <w:tcPr>
            <w:tcW w:w="0" w:type="auto"/>
            <w:tcMar>
              <w:top w:w="150" w:type="dxa"/>
              <w:left w:w="150" w:type="dxa"/>
              <w:bottom w:w="150" w:type="dxa"/>
              <w:right w:w="150" w:type="dxa"/>
            </w:tcMar>
            <w:vAlign w:val="center"/>
          </w:tcPr>
          <w:p>
            <w:r>
              <w:rPr>
                <w:position w:val="-353"/>
              </w:rPr>
              <w:drawing>
                <wp:inline distT="0" distB="0" distL="0" distR="0">
                  <wp:extent cx="2844000" cy="4456800"/>
                  <wp:effectExtent b="0" l="0" r="0" t="0"/>
                  <wp:docPr id="8296743" name="name5620699daa13128e2" descr="Rehlko_Xtreme%2520Conditions%252010w-40%2520Oil%2520-%2520EMEA%25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Xtreme%2520Conditions%252010w-40%2520Oil%2520-%2520EMEA%2520-1.jpg"/>
                          <pic:cNvPicPr/>
                        </pic:nvPicPr>
                        <pic:blipFill>
                          <a:blip r:embed="rId2155699daa13128dc" cstate="print"/>
                          <a:stretch>
                            <a:fillRect/>
                          </a:stretch>
                        </pic:blipFill>
                        <pic:spPr>
                          <a:xfrm>
                            <a:off x="0" y="0"/>
                            <a:ext cx="2844000" cy="4456800"/>
                          </a:xfrm>
                          <a:prstGeom prst="rect">
                            <a:avLst/>
                          </a:prstGeom>
                          <a:ln w="0">
                            <a:noFill/>
                          </a:ln>
                        </pic:spPr>
                      </pic:pic>
                    </a:graphicData>
                  </a:graphic>
                </wp:inline>
              </w:drawing>
            </w:r>
          </w:p>
        </w:tc>
        <w:tc>
          <w:tcPr>
            <w:tcW w:w="0" w:type="auto"/>
            <w:tcMar>
              <w:top w:w="150" w:type="dxa"/>
              <w:left w:w="150" w:type="dxa"/>
              <w:bottom w:w="150" w:type="dxa"/>
              <w:right w:w="150" w:type="dxa"/>
            </w:tcMar>
            <w:vAlign w:val="center"/>
          </w:tcPr>
          <w:p>
            <w:r>
              <w:rPr>
                <w:position w:val="-353"/>
              </w:rPr>
              <w:drawing>
                <wp:inline distT="0" distB="0" distL="0" distR="0">
                  <wp:extent cx="2844000" cy="4456800"/>
                  <wp:effectExtent b="0" l="0" r="0" t="0"/>
                  <wp:docPr id="72621107" name="name6476699daa131a3b4" descr="Rehlko_Extreme%2520Conditions%25205W40%2520Oil%2520-%2520NA%2520-%25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Extreme%2520Conditions%25205W40%2520Oil%2520-%2520NA%2520-%25202.jpg"/>
                          <pic:cNvPicPr/>
                        </pic:nvPicPr>
                        <pic:blipFill>
                          <a:blip r:embed="rId5239699daa131a3af" cstate="print"/>
                          <a:stretch>
                            <a:fillRect/>
                          </a:stretch>
                        </pic:blipFill>
                        <pic:spPr>
                          <a:xfrm>
                            <a:off x="0" y="0"/>
                            <a:ext cx="2844000" cy="4456800"/>
                          </a:xfrm>
                          <a:prstGeom prst="rect">
                            <a:avLst/>
                          </a:prstGeom>
                          <a:ln w="0">
                            <a:noFill/>
                          </a:ln>
                        </pic:spPr>
                      </pic:pic>
                    </a:graphicData>
                  </a:graphic>
                </wp:inline>
              </w:drawing>
            </w:r>
          </w:p>
        </w:tc>
        <w:tc>
          <w:tcPr>
            <w:tcW w:w="0" w:type="auto"/>
            <w:tcMar>
              <w:top w:w="150" w:type="dxa"/>
              <w:left w:w="150" w:type="dxa"/>
              <w:bottom w:w="150" w:type="dxa"/>
              <w:right w:w="150" w:type="dxa"/>
            </w:tcMar>
            <w:vAlign w:val="center"/>
          </w:tcPr>
          <w:p>
            <w:r>
              <w:rPr>
                <w:position w:val="-325"/>
              </w:rPr>
              <w:drawing>
                <wp:inline distT="0" distB="0" distL="0" distR="0">
                  <wp:extent cx="2865600" cy="4118400"/>
                  <wp:effectExtent b="0" l="0" r="0" t="0"/>
                  <wp:docPr id="57219796" name="name3307699daa1325bad" descr="Rehlko_Xtreme%2520Conditions%252010w-40%2520Oil%2520-%2520INDI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Xtreme%2520Conditions%252010w-40%2520Oil%2520-%2520INDIA2.jpg"/>
                          <pic:cNvPicPr/>
                        </pic:nvPicPr>
                        <pic:blipFill>
                          <a:blip r:embed="rId3415699daa1325ba7" cstate="print"/>
                          <a:stretch>
                            <a:fillRect/>
                          </a:stretch>
                        </pic:blipFill>
                        <pic:spPr>
                          <a:xfrm>
                            <a:off x="0" y="0"/>
                            <a:ext cx="2865600" cy="4118400"/>
                          </a:xfrm>
                          <a:prstGeom prst="rect">
                            <a:avLst/>
                          </a:prstGeom>
                          <a:ln w="0">
                            <a:noFill/>
                          </a:ln>
                        </pic:spPr>
                      </pic:pic>
                    </a:graphicData>
                  </a:graphic>
                </wp:inline>
              </w:drawing>
            </w:r>
          </w:p>
        </w:tc>
      </w:tr>
    </w:tbl>
    <w:p>
      <w:pPr>
        <w:widowControl w:val="on"/>
        <w:pBdr/>
        <w:spacing w:before="0" w:after="0" w:line="262" w:lineRule="auto"/>
        <w:ind w:left="0" w:right="0"/>
        <w:jc w:val="right"/>
      </w:pPr>
      <w:r>
        <w:rPr>
          <w:color w:val="00274C"/>
          <w:sz w:val="20"/>
          <w:szCs w:val="20"/>
          <w:u w:val="none"/>
        </w:rPr>
        <w:t xml:space="preserve"> </w:t>
      </w:r>
    </w:p>
    <w:p>
      <w:pPr>
        <w:widowControl w:val="on"/>
        <w:pBdr/>
        <w:spacing w:before="0" w:after="0" w:line="262" w:lineRule="auto"/>
        <w:ind w:left="0" w:right="0"/>
        <w:jc w:val="righ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Oils meeting the following specifications are also recommended.</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Tab. 2.2</w:t>
      </w:r>
    </w:p>
    <w:tbl>
      <w:tblPr>
        <w:tblStyle w:val="NormalTablePHPDOCX"/>
        <w:tblCellMar>
          <w:left w:type="dxa" w:w="0"/>
          <w:right w:type="dxa" w:w="0"/>
        </w:tblCellMar>
        <w:tblW w:w="5000" w:type="pct"/>
        <w:tblInd w:w="0" w:type="auto"/>
        <w:tblBorders/>
      </w:tblPr>
      <w:tblGrid>
        <w:gridCol w:w="1"/>
        <w:gridCol w:w="1"/>
        <w:gridCol w:w="1"/>
        <w:gridCol w:w="1"/>
        <w:gridCol w:w="1"/>
        <w:gridCol w:w="1"/>
      </w:tblGrid>
      <w:tr>
        <w:trPr>
          <w:trHeight w:val="0" w:hRule="atLeast"/>
        </w:trPr>
        <w:tc>
          <w:tcPr>
            <w:tcW w:w="0" w:type="auto"/>
            <w:gridSpan w:val="6"/>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RECCOMENDED OIL</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VISCOSITY</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b/>
                <w:bCs/>
                <w:color w:val="00274C"/>
                <w:position w:val="-2"/>
                <w:sz w:val="20"/>
                <w:szCs w:val="20"/>
                <w:u w:val="none"/>
                <w:shd w:val="clear" w:color="auto" w:fill="E1E2E0"/>
              </w:rPr>
              <w:t xml:space="preserve">SAE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15w-40</w:t>
            </w:r>
            <w:r>
              <w:rPr>
                <w:color w:val="00274C"/>
                <w:position w:val="-2"/>
                <w:sz w:val="20"/>
                <w:szCs w:val="20"/>
                <w:u w:val="none"/>
                <w:shd w:val="clear" w:color="auto" w:fill="E1E2E0"/>
              </w:rPr>
              <w:br/>
              <w:t xml:space="preserve">(+15°c ÷ +45°c)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10w-30</w:t>
            </w:r>
            <w:r>
              <w:rPr>
                <w:color w:val="00274C"/>
                <w:position w:val="-2"/>
                <w:sz w:val="20"/>
                <w:szCs w:val="20"/>
                <w:u w:val="none"/>
                <w:shd w:val="clear" w:color="auto" w:fill="E1E2E0"/>
              </w:rPr>
              <w:br/>
              <w:t xml:space="preserve">(-15°c ÷ +30°c)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5w-30</w:t>
            </w:r>
            <w:r>
              <w:rPr>
                <w:color w:val="00274C"/>
                <w:position w:val="-2"/>
                <w:sz w:val="20"/>
                <w:szCs w:val="20"/>
                <w:u w:val="none"/>
                <w:shd w:val="clear" w:color="auto" w:fill="E1E2E0"/>
              </w:rPr>
              <w:br/>
              <w:t xml:space="preserve">(-30°c ÷ +30°c)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5w-40</w:t>
            </w:r>
            <w:r>
              <w:rPr>
                <w:color w:val="00274C"/>
                <w:position w:val="-2"/>
                <w:sz w:val="20"/>
                <w:szCs w:val="20"/>
                <w:u w:val="none"/>
                <w:shd w:val="clear" w:color="auto" w:fill="E1E2E0"/>
              </w:rPr>
              <w:br/>
              <w:t xml:space="preserve">(-30°c ÷ +45°c)</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WITH SPECIFICATIONS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API</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CH4</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CJ4</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CH4</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CH4/ CJ4</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ACEA</w:t>
            </w:r>
          </w:p>
        </w:tc>
        <w:tc>
          <w:tcPr>
            <w:tcW w:w="0" w:type="auto"/>
            <w:gridSpan w:val="4"/>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E4 - E5 - E7</w:t>
            </w:r>
          </w:p>
        </w:tc>
      </w:tr>
    </w:tbl>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CLASSIFICATION</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DESCRIPTION AREA SPECIFICATION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E4</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High performance (Euro 1 - 2 - 3 Engines)  heavy duty</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E5</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High performance (Euro 1 - 2 Engines) heavy duty</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E7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High power over long distances (Euro 4 - 5 engines)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2.4.2 Reversing gear oil</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b/>
          <w:bCs/>
          <w:color w:val="00274C"/>
          <w:sz w:val="20"/>
          <w:szCs w:val="20"/>
          <w:u w:val="none"/>
        </w:rPr>
        <w:t xml:space="preserve">NOTE</w:t>
      </w:r>
      <w:r>
        <w:rPr>
          <w:color w:val="00274C"/>
          <w:sz w:val="20"/>
          <w:szCs w:val="20"/>
          <w:u w:val="none"/>
        </w:rPr>
        <w:t xml:space="preserve"> : Refer to the technical documentation of the reversing gear supplied with the engine.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Fuel</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74275193" name="name1803699daa13302e7"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5175699daa13302e1"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Important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24050"/>
        </w:numPr>
        <w:spacing w:before="0" w:after="0" w:line="240" w:lineRule="auto"/>
        <w:jc w:val="left"/>
        <w:rPr>
          <w:color w:val="00274C"/>
          <w:sz w:val="20"/>
          <w:szCs w:val="20"/>
        </w:rPr>
      </w:pPr>
      <w:r>
        <w:rPr>
          <w:color w:val="00274C"/>
          <w:sz w:val="20"/>
          <w:szCs w:val="20"/>
          <w:u w:val="none"/>
        </w:rPr>
        <w:t xml:space="preserve">Use of other types of fuel could damage the engine. Do not use dirty diesel fuel or mixtures of diesel fuel and water since this will cause serious engine faults.</w:t>
      </w:r>
    </w:p>
    <w:p>
      <w:pPr>
        <w:numPr>
          <w:ilvl w:val="0"/>
          <w:numId w:val="24050"/>
        </w:numPr>
        <w:spacing w:before="0" w:after="0" w:line="240" w:lineRule="auto"/>
        <w:jc w:val="left"/>
        <w:rPr>
          <w:color w:val="00274C"/>
          <w:sz w:val="20"/>
          <w:szCs w:val="20"/>
        </w:rPr>
      </w:pPr>
      <w:r>
        <w:rPr>
          <w:b/>
          <w:bCs/>
          <w:color w:val="00274C"/>
          <w:sz w:val="20"/>
          <w:szCs w:val="20"/>
          <w:u w:val="none"/>
        </w:rPr>
        <w:t xml:space="preserve">Any failures resulting from the use of fuels other than recommended will not be warranted.</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67668035" name="name9450699daa133864d"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6185699daa1338648"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Warning</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24050"/>
        </w:numPr>
        <w:spacing w:before="0" w:after="0" w:line="240" w:lineRule="auto"/>
        <w:jc w:val="left"/>
        <w:rPr>
          <w:color w:val="00274C"/>
          <w:sz w:val="20"/>
          <w:szCs w:val="20"/>
        </w:rPr>
      </w:pPr>
      <w:r>
        <w:rPr>
          <w:color w:val="00274C"/>
          <w:sz w:val="20"/>
          <w:szCs w:val="20"/>
          <w:u w:val="none"/>
        </w:rPr>
        <w:t xml:space="preserve">Clean fuel prevents the fuel injectors from clogging. Immediately clean up any spillage during refuelling.</w:t>
      </w:r>
    </w:p>
    <w:p>
      <w:pPr>
        <w:numPr>
          <w:ilvl w:val="0"/>
          <w:numId w:val="24050"/>
        </w:numPr>
        <w:spacing w:before="0" w:after="0" w:line="240" w:lineRule="auto"/>
        <w:jc w:val="left"/>
        <w:rPr>
          <w:color w:val="00274C"/>
          <w:sz w:val="20"/>
          <w:szCs w:val="20"/>
        </w:rPr>
      </w:pPr>
      <w:r>
        <w:rPr>
          <w:color w:val="00274C"/>
          <w:sz w:val="20"/>
          <w:szCs w:val="20"/>
          <w:u w:val="none"/>
        </w:rPr>
        <w:t xml:space="preserve">Never store diesel fuel in galvanized containers (i.e. coated with zinc). Diesel fuel and the galvanized coating react chemically to each other, producing flaking that quickly clogs filters or causes fuel pump and/or injector failure.</w:t>
      </w:r>
    </w:p>
    <w:p>
      <w:pPr>
        <w:widowControl w:val="on"/>
        <w:pBdr/>
        <w:spacing w:before="0" w:after="0" w:line="262" w:lineRule="auto"/>
        <w:ind w:left="0" w:right="0"/>
        <w:jc w:val="right"/>
      </w:pPr>
      <w:r>
        <w:rPr>
          <w:b/>
          <w:bCs/>
          <w:color w:val="00274C"/>
          <w:sz w:val="20"/>
          <w:szCs w:val="20"/>
          <w:u w:val="none"/>
        </w:rPr>
        <w:t xml:space="preserve">2.3</w:t>
      </w:r>
    </w:p>
    <w:tbl>
      <w:tblPr>
        <w:tblStyle w:val="NormalTablePHPDOCX"/>
        <w:tblCellMar>
          <w:left w:type="dxa" w:w="0"/>
          <w:right w:type="dxa" w:w="0"/>
        </w:tblCellMar>
        <w:tblW w:w="5000" w:type="pct"/>
        <w:tblInd w:w="0" w:type="auto"/>
        <w:tblBorders/>
      </w:tblPr>
      <w:tblGrid>
        <w:gridCol w:w="1"/>
        <w:gridCol w:w="1"/>
        <w:gridCol w:w="1"/>
        <w:gridCol w:w="1"/>
        <w:gridCol w:w="1"/>
        <w:gridCol w:w="1"/>
        <w:gridCol w:w="1"/>
        <w:gridCol w:w="1"/>
        <w:gridCol w:w="1"/>
      </w:tblGrid>
      <w:tr>
        <w:trPr>
          <w:trHeight w:val="0" w:hRule="atLeast"/>
        </w:trPr>
        <w:tc>
          <w:tcPr>
            <w:tcW w:w="0" w:type="auto"/>
            <w:gridSpan w:val="9"/>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FUEL COMPATIBILITY</w:t>
            </w:r>
          </w:p>
        </w:tc>
      </w:tr>
      <w:tr>
        <w:trPr>
          <w:trHeight w:val="0" w:hRule="atLeast"/>
        </w:trPr>
        <w:tc>
          <w:tcPr>
            <w:tcW w:w="0" w:type="auto"/>
            <w:gridSpan w:val="9"/>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 590 (biodiesel content max. 7% (V/V))</w:t>
            </w:r>
          </w:p>
        </w:tc>
      </w:tr>
      <w:tr>
        <w:trPr>
          <w:trHeight w:val="0" w:hRule="atLeast"/>
        </w:trPr>
        <w:tc>
          <w:tcPr>
            <w:tcW w:w="0" w:type="auto"/>
            <w:gridSpan w:val="9"/>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ASTM D 975 Grade 1-D S15</w:t>
            </w:r>
          </w:p>
        </w:tc>
      </w:tr>
      <w:tr>
        <w:trPr>
          <w:trHeight w:val="0" w:hRule="atLeast"/>
        </w:trPr>
        <w:tc>
          <w:tcPr>
            <w:tcW w:w="0" w:type="auto"/>
            <w:gridSpan w:val="9"/>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ASTM D 975 Grade 2-D S15</w:t>
            </w:r>
          </w:p>
        </w:tc>
      </w:tr>
      <w:tr>
        <w:trPr>
          <w:trHeight w:val="0" w:hRule="atLeast"/>
        </w:trPr>
        <w:tc>
          <w:tcPr>
            <w:tcW w:w="0" w:type="auto"/>
            <w:gridSpan w:val="9"/>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NATO F-54, equivalent to diesel fuel in accordance with EN 590</w:t>
            </w:r>
          </w:p>
        </w:tc>
      </w:tr>
      <w:tr>
        <w:trPr>
          <w:trHeight w:val="0" w:hRule="atLeast"/>
        </w:trPr>
        <w:tc>
          <w:tcPr>
            <w:tcW w:w="0" w:type="auto"/>
            <w:gridSpan w:val="9"/>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 590 or ASTM D 975 Grade 1, 2 -D S15 Arctic Diesel</w:t>
            </w:r>
          </w:p>
        </w:tc>
      </w:tr>
      <w:tr>
        <w:trPr>
          <w:trHeight w:val="0" w:hRule="atLeast"/>
        </w:trPr>
        <w:tc>
          <w:tcPr>
            <w:tcW w:w="0" w:type="auto"/>
            <w:gridSpan w:val="9"/>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JIS K 2204 No. 1, No. 2</w:t>
            </w:r>
          </w:p>
        </w:tc>
      </w:tr>
    </w:tbl>
    <w:p>
      <w:pPr>
        <w:widowControl w:val="on"/>
        <w:pBdr/>
        <w:spacing w:before="0" w:after="0" w:line="262" w:lineRule="auto"/>
        <w:ind w:left="0" w:right="0"/>
        <w:jc w:val="left"/>
      </w:pPr>
      <w:r>
        <w:rPr>
          <w:b/>
          <w:bCs/>
          <w:color w:val="00274C"/>
          <w:sz w:val="20"/>
          <w:szCs w:val="20"/>
          <w:u w:val="none"/>
        </w:rPr>
        <w:t xml:space="preserve">NOTE</w:t>
      </w:r>
      <w:r>
        <w:rPr>
          <w:color w:val="00274C"/>
          <w:sz w:val="20"/>
          <w:szCs w:val="20"/>
          <w:u w:val="none"/>
        </w:rPr>
        <w:t xml:space="preserve"> : In a warranty case the customer must prove by a certificate from the fuel supplier that an allowed fuel was used.</w:t>
      </w:r>
    </w:p>
    <w:p>
      <w:pPr>
        <w:widowControl w:val="on"/>
        <w:pBdr/>
        <w:spacing w:before="0" w:after="0" w:line="262" w:lineRule="auto"/>
        <w:ind w:left="0" w:right="0"/>
        <w:jc w:val="left"/>
      </w:pPr>
      <w:r>
        <w:rPr>
          <w:b/>
          <w:bCs/>
          <w:i/>
          <w:iCs/>
          <w:color w:val="00274C"/>
          <w:sz w:val="20"/>
          <w:szCs w:val="20"/>
          <w:u w:val="none"/>
        </w:rPr>
        <w:br/>
        <w:t xml:space="preserve">KDI Mechanical Injection Tier 3 – Stage IIIA certified Engines (w and w/o EGR)</w:t>
      </w:r>
    </w:p>
    <w:p>
      <w:pPr>
        <w:numPr>
          <w:ilvl w:val="0"/>
          <w:numId w:val="24050"/>
        </w:numPr>
        <w:spacing w:before="0" w:after="0" w:line="240" w:lineRule="auto"/>
        <w:jc w:val="left"/>
        <w:rPr>
          <w:color w:val="00274C"/>
          <w:sz w:val="20"/>
          <w:szCs w:val="20"/>
        </w:rPr>
      </w:pPr>
      <w:r>
        <w:rPr>
          <w:color w:val="00274C"/>
          <w:sz w:val="20"/>
          <w:szCs w:val="20"/>
          <w:u w:val="none"/>
        </w:rPr>
        <w:t xml:space="preserve">Those engines are designed for fuels in accordance with EN 590 and ASTM D975 for a cetane number of at least 45. Since those engines are not equipped with exhaust gas after-treatment, they can be operated with diesel fuels with sulfur content up to 500 mg/kg (ppm). Compliance with the emission requirements is guaranteed only with sulfur content up to 15 mg/kg (ppm).</w:t>
      </w:r>
      <w:r>
        <w:rPr>
          <w:color w:val="00274C"/>
          <w:sz w:val="20"/>
          <w:szCs w:val="20"/>
          <w:u w:val="none"/>
        </w:rPr>
        <w:br/>
        <w:t xml:space="preserve">Engines operated with fuels as per EN 590 and ASTM D975 with sulfur content &lt; 15mg/kg have an oil changing interval of 500hrs. Fuels with a sulfur content &gt; 500 mg/kg demand a shorter lubricating oil change interval. This is set at 250hrs. However, the engine oil must be changed when the Total Base Number TBN is reduced to 6.0 mgKOH/g test method ASTM D4739. With high fuel sulfur content fuel this may happen at 125hrs. Do not use low SAPS oils.</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KDI Mechanical Injection Uncertified Engines (no EGR Engines)</w:t>
      </w:r>
    </w:p>
    <w:p>
      <w:pPr>
        <w:numPr>
          <w:ilvl w:val="0"/>
          <w:numId w:val="24050"/>
        </w:numPr>
        <w:spacing w:before="0" w:after="0" w:line="240" w:lineRule="auto"/>
        <w:jc w:val="left"/>
        <w:rPr>
          <w:color w:val="00274C"/>
          <w:sz w:val="20"/>
          <w:szCs w:val="20"/>
        </w:rPr>
      </w:pPr>
      <w:r>
        <w:rPr>
          <w:color w:val="00274C"/>
          <w:sz w:val="20"/>
          <w:szCs w:val="20"/>
          <w:u w:val="none"/>
        </w:rPr>
        <w:t xml:space="preserve">Those engines are designed for fuels in accordance with EN 590 and ASTM D975 for a cetane number of at least 45. Since those engines are not equipped with exhaust gas after-treatment, they can be operated with diesel fuels with sulfur content up to 2000 mg/kg (ppm).Engines operated with fuels as per EN 590 and ASTM D975 with sulfur content &lt; 15mg/kg have an oil changing interval of 500hrs. Fuels with a sulfur content &gt; 500 mg/kg demand a shorter lubricating oil change interval. This is set at 250hrs. However, the engine oil must be changed when the Total Base Number TBN is reduced to 6.0 mgKOH/g test method ASTM D4739</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2.5.1</w:t>
      </w:r>
      <w:r>
        <w:rPr>
          <w:color w:val="00274C"/>
          <w:sz w:val="20"/>
          <w:szCs w:val="20"/>
          <w:u w:val="none"/>
        </w:rPr>
        <w:t xml:space="preserve"> </w:t>
      </w:r>
      <w:r>
        <w:rPr>
          <w:b/>
          <w:bCs/>
          <w:color w:val="00274C"/>
          <w:sz w:val="20"/>
          <w:szCs w:val="20"/>
          <w:u w:val="none"/>
        </w:rPr>
        <w:t xml:space="preserve">Fuel for low temperatures</w:t>
      </w:r>
    </w:p>
    <w:p>
      <w:pPr>
        <w:numPr>
          <w:ilvl w:val="0"/>
          <w:numId w:val="24050"/>
        </w:numPr>
        <w:spacing w:before="0" w:after="0" w:line="240" w:lineRule="auto"/>
        <w:jc w:val="left"/>
        <w:rPr>
          <w:color w:val="00274C"/>
          <w:sz w:val="20"/>
          <w:szCs w:val="20"/>
        </w:rPr>
      </w:pPr>
      <w:r>
        <w:rPr>
          <w:color w:val="00274C"/>
          <w:sz w:val="20"/>
          <w:szCs w:val="20"/>
          <w:u w:val="none"/>
        </w:rPr>
        <w:br/>
        <w:t xml:space="preserve">When operating the engine in ambient temperatures lower than 0 degrees C, use suitable low temperature fuel normally available from fuel distributors and corresponding to the specifications of </w:t>
      </w:r>
      <w:r>
        <w:rPr>
          <w:b/>
          <w:bCs/>
          <w:color w:val="00274C"/>
          <w:sz w:val="20"/>
          <w:szCs w:val="20"/>
          <w:u w:val="none"/>
        </w:rPr>
        <w:t xml:space="preserve">Tab. 2.3</w:t>
      </w:r>
      <w:r>
        <w:rPr>
          <w:color w:val="00274C"/>
          <w:sz w:val="20"/>
          <w:szCs w:val="20"/>
          <w:u w:val="none"/>
        </w:rPr>
        <w:t xml:space="preserve"> .</w:t>
      </w:r>
    </w:p>
    <w:p>
      <w:pPr>
        <w:numPr>
          <w:ilvl w:val="0"/>
          <w:numId w:val="24050"/>
        </w:numPr>
        <w:spacing w:before="0" w:after="0" w:line="240" w:lineRule="auto"/>
        <w:jc w:val="left"/>
        <w:rPr>
          <w:color w:val="00274C"/>
          <w:sz w:val="20"/>
          <w:szCs w:val="20"/>
        </w:rPr>
      </w:pPr>
      <w:r>
        <w:rPr>
          <w:color w:val="00274C"/>
          <w:sz w:val="20"/>
          <w:szCs w:val="20"/>
          <w:u w:val="none"/>
        </w:rPr>
        <w:t xml:space="preserve">These fuels reduce the formation of paraffin in diesel at low temperatures.</w:t>
      </w:r>
    </w:p>
    <w:p>
      <w:pPr>
        <w:numPr>
          <w:ilvl w:val="0"/>
          <w:numId w:val="24050"/>
        </w:numPr>
        <w:spacing w:before="0" w:after="0" w:line="240" w:lineRule="auto"/>
        <w:jc w:val="left"/>
        <w:rPr>
          <w:color w:val="00274C"/>
          <w:sz w:val="20"/>
          <w:szCs w:val="20"/>
        </w:rPr>
      </w:pPr>
      <w:r>
        <w:rPr>
          <w:color w:val="00274C"/>
          <w:sz w:val="20"/>
          <w:szCs w:val="20"/>
          <w:u w:val="none"/>
        </w:rPr>
        <w:t xml:space="preserve">When paraffin forms in the diesel, the fuel filter becomes blocked interrupting the flow of fuel.</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2.5.2</w:t>
      </w:r>
      <w:r>
        <w:rPr>
          <w:b/>
          <w:bCs/>
          <w:color w:val="00274C"/>
          <w:sz w:val="20"/>
          <w:szCs w:val="20"/>
          <w:u w:val="none"/>
        </w:rPr>
        <w:t xml:space="preserve"> Biodiesel fuel</w:t>
      </w:r>
    </w:p>
    <w:p>
      <w:pPr>
        <w:numPr>
          <w:ilvl w:val="0"/>
          <w:numId w:val="24050"/>
        </w:numPr>
        <w:spacing w:before="0" w:after="0" w:line="240" w:lineRule="auto"/>
        <w:jc w:val="left"/>
        <w:rPr>
          <w:color w:val="00274C"/>
          <w:sz w:val="20"/>
          <w:szCs w:val="20"/>
        </w:rPr>
      </w:pPr>
      <w:r>
        <w:rPr>
          <w:color w:val="00274C"/>
          <w:sz w:val="20"/>
          <w:szCs w:val="20"/>
          <w:u w:val="none"/>
        </w:rPr>
        <w:t xml:space="preserve">Fuels containing 10% methyl ester or B10, are suitable for use in this engine provided that they meet the specifications listed in the Tab. 2.3.</w:t>
      </w:r>
    </w:p>
    <w:p>
      <w:pPr>
        <w:numPr>
          <w:ilvl w:val="0"/>
          <w:numId w:val="24050"/>
        </w:numPr>
        <w:spacing w:before="0" w:after="0" w:line="240" w:lineRule="auto"/>
        <w:jc w:val="left"/>
        <w:rPr>
          <w:color w:val="00274C"/>
          <w:sz w:val="20"/>
          <w:szCs w:val="20"/>
        </w:rPr>
      </w:pPr>
      <w:r>
        <w:rPr>
          <w:b/>
          <w:bCs/>
          <w:color w:val="00274C"/>
          <w:sz w:val="20"/>
          <w:szCs w:val="20"/>
          <w:u w:val="none"/>
        </w:rPr>
        <w:t xml:space="preserve">DO NOT USE</w:t>
      </w:r>
      <w:r>
        <w:rPr>
          <w:color w:val="00274C"/>
          <w:sz w:val="20"/>
          <w:szCs w:val="20"/>
          <w:u w:val="none"/>
        </w:rPr>
        <w:t xml:space="preserve"> vegetable oil as a biofuel for this engine.</w:t>
      </w:r>
    </w:p>
    <w:p>
      <w:pPr>
        <w:widowControl w:val="on"/>
        <w:pBdr/>
        <w:spacing w:before="0" w:after="0" w:line="262" w:lineRule="auto"/>
        <w:ind w:left="0" w:right="0"/>
        <w:jc w:val="right"/>
      </w:pPr>
      <w:r>
        <w:rPr>
          <w:b/>
          <w:bCs/>
          <w:color w:val="00274C"/>
          <w:sz w:val="20"/>
          <w:szCs w:val="20"/>
          <w:u w:val="none"/>
        </w:rPr>
        <w:t xml:space="preserve">2.4</w:t>
      </w:r>
    </w:p>
    <w:tbl>
      <w:tblPr>
        <w:tblStyle w:val="NormalTablePHPDOCX"/>
        <w:tblCellMar>
          <w:left w:type="dxa" w:w="0"/>
          <w:right w:type="dxa" w:w="0"/>
        </w:tblCellMar>
        <w:tblW w:w="5000" w:type="pct"/>
        <w:tblInd w:w="0" w:type="auto"/>
        <w:tblBorders/>
      </w:tblPr>
      <w:tblGrid>
        <w:gridCol w:w="1"/>
        <w:gridCol w:w="1"/>
        <w:gridCol w:w="1"/>
        <w:gridCol w:w="1"/>
        <w:gridCol w:w="1"/>
        <w:gridCol w:w="1"/>
        <w:gridCol w:w="1"/>
        <w:gridCol w:w="1"/>
        <w:gridCol w:w="1"/>
      </w:tblGrid>
      <w:tr>
        <w:trPr>
          <w:trHeight w:val="0" w:hRule="atLeast"/>
        </w:trPr>
        <w:tc>
          <w:tcPr>
            <w:tcW w:w="0" w:type="auto"/>
            <w:gridSpan w:val="9"/>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BIODIESEL COMPATIBILITY</w:t>
            </w:r>
          </w:p>
        </w:tc>
      </w:tr>
      <w:tr>
        <w:trPr>
          <w:trHeight w:val="0" w:hRule="atLeast"/>
        </w:trPr>
        <w:tc>
          <w:tcPr>
            <w:tcW w:w="0" w:type="auto"/>
            <w:gridSpan w:val="9"/>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Biodiesel according to EN 14214 (only permissible for mixture with diesel fuel at max. 10% (V/V))</w:t>
            </w:r>
          </w:p>
        </w:tc>
      </w:tr>
      <w:tr>
        <w:trPr>
          <w:trHeight w:val="0" w:hRule="atLeast"/>
        </w:trPr>
        <w:tc>
          <w:tcPr>
            <w:tcW w:w="0" w:type="auto"/>
            <w:gridSpan w:val="9"/>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US biodiesel according to ASTM D6751 – 09a (B100) (only permissible for mixtures with diesel fuel at 10% (V/V))</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2.5.3</w:t>
      </w:r>
      <w:r>
        <w:rPr>
          <w:b/>
          <w:bCs/>
          <w:color w:val="00274C"/>
          <w:sz w:val="20"/>
          <w:szCs w:val="20"/>
          <w:u w:val="none"/>
        </w:rPr>
        <w:t xml:space="preserve"> Synthetic fuels: GTL, CTL, BTL, HV</w:t>
      </w:r>
      <w:r>
        <w:rPr>
          <w:color w:val="00274C"/>
          <w:sz w:val="20"/>
          <w:szCs w:val="20"/>
          <w:u w:val="none"/>
        </w:rPr>
        <w:br/>
        <w:t xml:space="preserve"> It is a well-known fact that engines which are operated for longer periods with conventional diesel fuel and then converted to synthetic fuels suffer shrinkage of polymer seals in the injection system and thus fuel leaks. The reason for this behavior is that the aromatic-free synthetic fuels can lead to a change in the selling behavior of polymer seals.</w:t>
      </w:r>
      <w:r>
        <w:rPr>
          <w:color w:val="00274C"/>
          <w:sz w:val="20"/>
          <w:szCs w:val="20"/>
          <w:u w:val="none"/>
        </w:rPr>
        <w:br/>
        <w:t xml:space="preserve">Therefore, conversion from diesel fuel to synthetic fuel may only be done after changing the critical seals. The problem of shrinkage does not occur when an engine was operated with synthetic fuel from the start. </w:t>
      </w:r>
    </w:p>
    <w:p>
      <w:pPr>
        <w:widowControl w:val="on"/>
        <w:pBdr/>
        <w:spacing w:before="0" w:after="0" w:line="262" w:lineRule="auto"/>
        <w:ind w:left="0" w:right="0"/>
        <w:jc w:val="left"/>
      </w:pPr>
      <w:r>
        <w:rPr>
          <w:color w:val="00274C"/>
          <w:sz w:val="20"/>
          <w:szCs w:val="20"/>
          <w:u w:val="none"/>
        </w:rPr>
        <w:br/>
        <w:t xml:space="preserve"> </w:t>
      </w:r>
    </w:p>
    <w:p>
      <w:pPr>
        <w:widowControl w:val="on"/>
        <w:pBdr/>
        <w:spacing w:before="0" w:after="0" w:line="262" w:lineRule="auto"/>
        <w:ind w:left="0" w:right="0"/>
        <w:jc w:val="left"/>
      </w:pPr>
      <w:r>
        <w:rPr>
          <w:b/>
          <w:bCs/>
          <w:color w:val="00274C"/>
          <w:sz w:val="20"/>
          <w:szCs w:val="20"/>
          <w:u w:val="none"/>
        </w:rPr>
        <w:t xml:space="preserve">2.5.4</w:t>
      </w:r>
      <w:r>
        <w:rPr>
          <w:b/>
          <w:bCs/>
          <w:color w:val="00274C"/>
          <w:sz w:val="20"/>
          <w:szCs w:val="20"/>
          <w:u w:val="none"/>
        </w:rPr>
        <w:t xml:space="preserve"> Non-Road Fuels</w:t>
      </w:r>
    </w:p>
    <w:p>
      <w:pPr>
        <w:widowControl w:val="on"/>
        <w:pBdr/>
        <w:spacing w:before="0" w:after="0" w:line="262" w:lineRule="auto"/>
        <w:ind w:left="0" w:right="0"/>
        <w:jc w:val="left"/>
      </w:pPr>
      <w:r>
        <w:rPr>
          <w:color w:val="00274C"/>
          <w:sz w:val="20"/>
          <w:szCs w:val="20"/>
          <w:u w:val="none"/>
        </w:rPr>
        <w:br/>
        <w:t xml:space="preserve">Other non-road fuels may be used if they comply with all the limit values of EN 590 except for the fuel density, the cetane number and the sulfur content.</w:t>
      </w:r>
      <w:r>
        <w:rPr>
          <w:color w:val="00274C"/>
          <w:sz w:val="20"/>
          <w:szCs w:val="20"/>
          <w:u w:val="none"/>
        </w:rPr>
        <w:br/>
        <w:t xml:space="preserve">The following limits apply for these parameters:</w:t>
      </w:r>
    </w:p>
    <w:p>
      <w:pPr>
        <w:widowControl w:val="on"/>
        <w:pBdr/>
        <w:spacing w:before="0" w:after="0" w:line="262" w:lineRule="auto"/>
        <w:ind w:left="0" w:right="0"/>
        <w:jc w:val="right"/>
      </w:pPr>
      <w:r>
        <w:rPr>
          <w:b/>
          <w:bCs/>
          <w:color w:val="00274C"/>
          <w:sz w:val="20"/>
          <w:szCs w:val="20"/>
          <w:u w:val="none"/>
        </w:rPr>
        <w:t xml:space="preserve">2.5</w:t>
      </w:r>
    </w:p>
    <w:tbl>
      <w:tblPr>
        <w:tblStyle w:val="NormalTablePHPDOCX"/>
        <w:tblCellMar>
          <w:left w:type="dxa" w:w="0"/>
          <w:right w:type="dxa" w:w="0"/>
        </w:tblCellMar>
        <w:tblW w:w="5000" w:type="pct"/>
        <w:tblInd w:w="0" w:type="auto"/>
        <w:tblBorders/>
      </w:tblPr>
      <w:tblGrid>
        <w:gridCol w:w="1"/>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FUEL PARAMETER</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UNIT</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LIMIT VALUE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Cetane number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Min. 49</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Fuel density at 15°C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Kg/m </w:t>
            </w:r>
            <w:r>
              <w:rPr>
                <w:color w:val="00274C"/>
                <w:position w:val="3"/>
                <w:sz w:val="17"/>
                <w:szCs w:val="17"/>
                <w:u w:val="none"/>
                <w:shd w:val="clear" w:color="auto" w:fill="E1E2E0"/>
                <w:vertAlign w:val="superscript"/>
                <w:vertAlign w:val="superscript"/>
              </w:rPr>
              <w:t xml:space="preserve">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820 - 860</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Sulfur content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mg/kg or ppm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max. 500</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2.5.5</w:t>
      </w:r>
      <w:r>
        <w:rPr>
          <w:b/>
          <w:bCs/>
          <w:color w:val="00274C"/>
          <w:sz w:val="20"/>
          <w:szCs w:val="20"/>
          <w:u w:val="none"/>
        </w:rPr>
        <w:t xml:space="preserve"> Jet Fuels</w:t>
      </w:r>
      <w:r>
        <w:rPr>
          <w:color w:val="00274C"/>
          <w:sz w:val="20"/>
          <w:szCs w:val="20"/>
          <w:u w:val="none"/>
        </w:rPr>
        <w:br/>
        <w:t xml:space="preserve"> </w:t>
      </w:r>
      <w:r>
        <w:rPr>
          <w:i/>
          <w:iCs/>
          <w:color w:val="00274C"/>
          <w:sz w:val="20"/>
          <w:szCs w:val="20"/>
          <w:u w:val="none"/>
        </w:rPr>
        <w:t xml:space="preserve">Only for KDI Mechanical Injection Uncertified Engines (no EGR Engines).</w:t>
      </w:r>
      <w:r>
        <w:rPr>
          <w:color w:val="00274C"/>
          <w:sz w:val="20"/>
          <w:szCs w:val="20"/>
          <w:u w:val="none"/>
        </w:rPr>
        <w:br/>
        <w:t xml:space="preserve">The following jet fuels can be used but only adopting an additional fuel filter with lubricity doser:</w:t>
      </w:r>
    </w:p>
    <w:p>
      <w:pPr>
        <w:widowControl w:val="on"/>
        <w:pBdr/>
        <w:spacing w:before="0" w:after="0" w:line="262" w:lineRule="auto"/>
        <w:ind w:left="0" w:right="0"/>
        <w:jc w:val="right"/>
      </w:pPr>
      <w:r>
        <w:rPr>
          <w:b/>
          <w:bCs/>
          <w:color w:val="00274C"/>
          <w:sz w:val="20"/>
          <w:szCs w:val="20"/>
          <w:u w:val="none"/>
        </w:rPr>
        <w:t xml:space="preserve">2.6</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FUEL</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F-34/F-35 (kerosene, NATO designation)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JP-8 (kerosene, US military designation)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F-44 (kerosene, NATO designation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JP-5 (kerosene, US military designation)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F-63 (kerosene, NATO designation, equivalent to F-34/F-35 with additives)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Jet A (kerosene for civil aviation)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F-65 (kerosene, NATO designation, 1:1 mixture of F-54 and F-34/F-35)</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Jet A1 (kerosene for civil aviation)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2.5.6 Emission-Related Installation Instructions</w:t>
      </w:r>
      <w:r>
        <w:rPr>
          <w:color w:val="00274C"/>
          <w:sz w:val="20"/>
          <w:szCs w:val="20"/>
          <w:u w:val="none"/>
        </w:rPr>
        <w:t xml:space="preserve"> Failing to follow the instructions in the applications guidebook when installing a certified engine in a piece of nonroad equipment violates federal law (40 CFR 1068.105(b)), subject to fines or other penalties as described in the Clean Air Act.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OEM must apply a separate label with the following statement: “ULTRA LOW SULFUR FUEL ONLY” near the fuel inlet.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Ensure you are installing an engine appropriately certified for your application. Constant speed engines may only be installed on constant speed equipment for constant speed operation.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If you install the engine in a way that makes the engine's emission control information label hard to read during normal engine maintenance, you must place a duplicate label on the equipment, as described in 40 CFR 1068.105.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Coolant recommendation</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Rehlko XtendedTM prediluted coolant 50% ethylene glycol OAT is preferred.</w:t>
            </w:r>
          </w:p>
          <w:p/>
          <w:p/>
          <w:p>
            <w:pPr>
              <w:widowControl w:val="on"/>
              <w:pBdr/>
              <w:spacing w:before="0" w:after="0" w:line="262" w:lineRule="auto"/>
              <w:ind w:left="0" w:right="0"/>
              <w:jc w:val="left"/>
              <w:textAlignment w:val="center"/>
            </w:pPr>
            <w:r>
              <w:rPr>
                <w:position w:val="-353"/>
              </w:rPr>
              <w:drawing>
                <wp:inline distT="0" distB="0" distL="0" distR="0">
                  <wp:extent cx="2844000" cy="4456800"/>
                  <wp:effectExtent b="0" l="0" r="0" t="0"/>
                  <wp:docPr id="33592992" name="name8277699daa1348066" descr="Rehlko_Xtended%2520Life%2520Coolant%2520-%2520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Xtended%2520Life%2520Coolant%2520-%2520NA.jpg"/>
                          <pic:cNvPicPr/>
                        </pic:nvPicPr>
                        <pic:blipFill>
                          <a:blip r:embed="rId1609699daa1348062" cstate="print"/>
                          <a:stretch>
                            <a:fillRect/>
                          </a:stretch>
                        </pic:blipFill>
                        <pic:spPr>
                          <a:xfrm>
                            <a:off x="0" y="0"/>
                            <a:ext cx="2844000" cy="4456800"/>
                          </a:xfrm>
                          <a:prstGeom prst="rect">
                            <a:avLst/>
                          </a:prstGeom>
                          <a:ln w="0">
                            <a:noFill/>
                          </a:ln>
                        </pic:spPr>
                      </pic:pic>
                    </a:graphicData>
                  </a:graphic>
                </wp:inline>
              </w:drawing>
            </w:r>
          </w:p>
          <w:p/>
          <w:p/>
          <w:p>
            <w:pPr>
              <w:widowControl w:val="on"/>
              <w:pBdr/>
              <w:spacing w:before="0" w:after="0" w:line="262" w:lineRule="auto"/>
              <w:ind w:left="0" w:right="0"/>
              <w:jc w:val="left"/>
              <w:textAlignment w:val="center"/>
            </w:pPr>
            <w:r>
              <w:rPr>
                <w:b/>
                <w:bCs/>
                <w:color w:val="00274C"/>
                <w:position w:val="-2"/>
                <w:sz w:val="20"/>
                <w:szCs w:val="20"/>
                <w:u w:val="none"/>
              </w:rPr>
              <w:t xml:space="preserve">Coolant meeting the following specifications are also recommended. </w:t>
            </w:r>
          </w:p>
          <w:p/>
          <w:p/>
          <w:p>
            <w:pPr>
              <w:widowControl w:val="on"/>
              <w:pBdr/>
              <w:spacing w:before="0" w:after="0" w:line="262" w:lineRule="auto"/>
              <w:ind w:left="0" w:right="0"/>
              <w:jc w:val="left"/>
              <w:textAlignment w:val="center"/>
            </w:pPr>
            <w:r>
              <w:rPr>
                <w:color w:val="00274C"/>
                <w:position w:val="-2"/>
                <w:sz w:val="20"/>
                <w:szCs w:val="20"/>
                <w:u w:val="none"/>
              </w:rPr>
              <w:t xml:space="preserve">A mixture of 50% demineralized water and 50% low silicate ethylene glycol based coolant liquid must be used. Use a Long Life or Extended Life Heavy Duty OAT coolant free of: silicates, phosphates, borates, nitrites and amines.</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The following ethylene-glycol based engine coolant for all models within KSD engine family may be used: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4050"/>
              </w:numPr>
              <w:spacing w:before="0" w:after="0" w:line="262" w:lineRule="auto"/>
              <w:jc w:val="left"/>
              <w:rPr>
                <w:color w:val="00274C"/>
                <w:sz w:val="20"/>
                <w:szCs w:val="20"/>
              </w:rPr>
            </w:pPr>
            <w:r>
              <w:rPr>
                <w:color w:val="00274C"/>
                <w:position w:val="-2"/>
                <w:sz w:val="20"/>
                <w:szCs w:val="20"/>
                <w:u w:val="none"/>
              </w:rPr>
              <w:t xml:space="preserve">OAT (Organic Acid Technology) Low Silicate:  </w:t>
            </w:r>
            <w:r>
              <w:rPr>
                <w:b/>
                <w:bCs/>
                <w:color w:val="00274C"/>
                <w:position w:val="-2"/>
                <w:sz w:val="20"/>
                <w:szCs w:val="20"/>
                <w:u w:val="none"/>
              </w:rPr>
              <w:t xml:space="preserve">ASTM D-3306 D-6210</w:t>
            </w:r>
          </w:p>
          <w:p>
            <w:pPr>
              <w:numPr>
                <w:ilvl w:val="0"/>
                <w:numId w:val="24050"/>
              </w:numPr>
              <w:spacing w:before="0" w:after="0" w:line="262" w:lineRule="auto"/>
              <w:jc w:val="left"/>
              <w:rPr>
                <w:color w:val="00274C"/>
                <w:sz w:val="20"/>
                <w:szCs w:val="20"/>
              </w:rPr>
            </w:pPr>
            <w:r>
              <w:rPr>
                <w:color w:val="00274C"/>
                <w:position w:val="-2"/>
                <w:sz w:val="20"/>
                <w:szCs w:val="20"/>
                <w:u w:val="none"/>
              </w:rPr>
              <w:t xml:space="preserve">HOAT (Hybrid Organic Acid Technology) Low Silicate:  </w:t>
            </w:r>
            <w:r>
              <w:rPr>
                <w:b/>
                <w:bCs/>
                <w:color w:val="00274C"/>
                <w:position w:val="-2"/>
                <w:sz w:val="20"/>
                <w:szCs w:val="20"/>
                <w:u w:val="none"/>
              </w:rPr>
              <w:t xml:space="preserve">ASTM D-3306 D-6210</w:t>
            </w:r>
          </w:p>
          <w:p/>
          <w:p/>
          <w:p>
            <w:pPr>
              <w:widowControl w:val="on"/>
              <w:pBdr/>
              <w:spacing w:before="0" w:after="0" w:line="262" w:lineRule="auto"/>
              <w:ind w:left="0" w:right="0"/>
              <w:jc w:val="left"/>
              <w:textAlignment w:val="center"/>
            </w:pPr>
            <w:r>
              <w:rPr>
                <w:color w:val="00274C"/>
                <w:position w:val="-2"/>
                <w:sz w:val="20"/>
                <w:szCs w:val="20"/>
                <w:u w:val="none"/>
              </w:rPr>
              <w:t xml:space="preserve">The above coolants in concentrated formulation must be mixed with distilled, deionized, or demineralized water. A pre-mixed formulation (40-60% or 50-50%) can be used directly when available.</w:t>
            </w:r>
          </w:p>
          <w:p/>
          <w:p/>
          <w:p>
            <w:pPr>
              <w:widowControl w:val="on"/>
              <w:pBdr/>
              <w:spacing w:before="0" w:after="0" w:line="262" w:lineRule="auto"/>
              <w:ind w:left="0" w:right="0"/>
              <w:jc w:val="left"/>
              <w:textAlignment w:val="center"/>
            </w:pPr>
            <w:r>
              <w:rPr>
                <w:position w:val="-20"/>
              </w:rPr>
              <w:drawing>
                <wp:inline distT="0" distB="0" distL="0" distR="0">
                  <wp:extent cx="324000" cy="324000"/>
                  <wp:effectExtent b="0" l="0" r="0" t="0"/>
                  <wp:docPr id="71888923" name="name7489699daa13504df"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9954699daa13504da"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center"/>
            </w:pPr>
            <w:r>
              <w:rPr>
                <w:b/>
                <w:bCs/>
                <w:color w:val="00274C"/>
                <w:position w:val="-2"/>
                <w:sz w:val="20"/>
                <w:szCs w:val="20"/>
                <w:u w:val="none"/>
              </w:rPr>
              <w:t xml:space="preserve">Important</w:t>
            </w:r>
          </w:p>
          <w:p>
            <w:pPr>
              <w:numPr>
                <w:ilvl w:val="0"/>
                <w:numId w:val="24050"/>
              </w:numPr>
              <w:spacing w:before="0" w:after="0" w:line="262" w:lineRule="auto"/>
              <w:jc w:val="left"/>
              <w:rPr>
                <w:color w:val="00274C"/>
                <w:sz w:val="20"/>
                <w:szCs w:val="20"/>
              </w:rPr>
            </w:pPr>
            <w:r>
              <w:rPr>
                <w:color w:val="00274C"/>
                <w:position w:val="-2"/>
                <w:sz w:val="20"/>
                <w:szCs w:val="20"/>
                <w:u w:val="none"/>
              </w:rPr>
              <w:t xml:space="preserve">Do not mix ethylene glycol and propylene glycol based coolants. Do not mix OAT and HOAT based coolant. OAT performance life can be drastically reduced if contaminated with nitrite-containing coolants.</w:t>
            </w:r>
          </w:p>
          <w:p>
            <w:pPr>
              <w:numPr>
                <w:ilvl w:val="0"/>
                <w:numId w:val="24050"/>
              </w:numPr>
              <w:spacing w:before="0" w:after="0" w:line="262" w:lineRule="auto"/>
              <w:jc w:val="left"/>
              <w:rPr>
                <w:color w:val="00274C"/>
                <w:sz w:val="20"/>
                <w:szCs w:val="20"/>
              </w:rPr>
            </w:pPr>
            <w:r>
              <w:rPr>
                <w:color w:val="00274C"/>
                <w:position w:val="-2"/>
                <w:sz w:val="20"/>
                <w:szCs w:val="20"/>
                <w:u w:val="none"/>
              </w:rPr>
              <w:t xml:space="preserve">Never use automotive-type coolants. These coolants do not contain the correct additives to protect heavy – duty diesel engines.</w:t>
            </w:r>
          </w:p>
          <w:p/>
          <w:p/>
          <w:p>
            <w:pPr>
              <w:widowControl w:val="on"/>
              <w:pBdr/>
              <w:spacing w:before="0" w:after="0" w:line="262" w:lineRule="auto"/>
              <w:ind w:left="0" w:right="0"/>
              <w:jc w:val="left"/>
              <w:textAlignment w:val="center"/>
            </w:pPr>
            <w:r>
              <w:rPr>
                <w:color w:val="00274C"/>
                <w:position w:val="-2"/>
                <w:sz w:val="20"/>
                <w:szCs w:val="20"/>
                <w:u w:val="none"/>
              </w:rPr>
              <w:t xml:space="preserve">OAT coolants are maintenance free up to 5 years or 4000hrs of operation , provided that the cooling system is topped up using the same type of coolant. Do not mix different coolant types. Test the coolant condition annually with coolant test strips.</w:t>
            </w:r>
            <w:r>
              <w:rPr>
                <w:color w:val="00274C"/>
                <w:position w:val="-2"/>
                <w:sz w:val="20"/>
                <w:szCs w:val="20"/>
                <w:u w:val="none"/>
              </w:rPr>
              <w:br/>
              <w:t xml:space="preserve">HOAT are not all maintenance free and it is recommended to have SCA (Supplemental Coolant Additives) added at the first maintenance interval.</w:t>
            </w:r>
          </w:p>
          <w:p/>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Battery recommendations</w:t>
      </w:r>
    </w:p>
    <w:p>
      <w:pPr>
        <w:widowControl w:val="on"/>
        <w:pBdr/>
        <w:spacing w:before="0" w:after="0" w:line="262" w:lineRule="auto"/>
        <w:ind w:left="0" w:right="0"/>
        <w:jc w:val="left"/>
      </w:pPr>
      <w:r>
        <w:rPr>
          <w:b/>
          <w:bCs/>
          <w:color w:val="00274C"/>
          <w:sz w:val="20"/>
          <w:szCs w:val="20"/>
          <w:u w:val="none"/>
        </w:rPr>
        <w:t xml:space="preserve">Battery not supplied by Kohler</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Tab. 2.5</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RECOMMENDED BATTERIES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AMBIENT TEMPERATURE</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BATTERY TYPE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&gt; - 15°C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12V 100 Ah - 800 CCA/SAE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-15°C ÷ -25°C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12V 110 Ah - 950 CCA/SAE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&lt; - 25°C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12V 120 Ah - 1000 CCA/SAE</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Control panel</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Tab. 2.6</w:t>
            </w:r>
            <w:r>
              <w:rPr>
                <w:color w:val="00274C"/>
                <w:position w:val="-2"/>
                <w:sz w:val="20"/>
                <w:szCs w:val="20"/>
                <w:u w:val="none"/>
              </w:rPr>
              <w:t xml:space="preserve"> shows the control panel components.
</w:t>
            </w:r>
          </w:p>
          <w:p>
            <w:pPr>
              <w:widowControl w:val="on"/>
              <w:pBdr/>
              <w:spacing w:before="0" w:after="0" w:line="262" w:lineRule="auto"/>
              <w:ind w:left="0" w:right="0"/>
              <w:jc w:val="left"/>
              <w:textAlignment w:val="center"/>
            </w:pPr>
            <w:r>
              <w:rPr>
                <w:b/>
                <w:bCs/>
                <w:color w:val="00274C"/>
                <w:position w:val="-2"/>
                <w:sz w:val="20"/>
                <w:szCs w:val="20"/>
                <w:u w:val="none"/>
              </w:rPr>
              <w:br/>
              <w:t xml:space="preserve">Tab 2.6</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POS.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DESCRIPTION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Panel ignition switch with key switch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B</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on/off push button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rpm indicator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data or errors display</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data or errors push button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F</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Maintenance errors reset push button</w:t>
                  </w:r>
                </w:p>
              </w:tc>
            </w:tr>
          </w:tbl>
          <w:p/>
        </w:tc>
        <w:tc>
          <w:tcPr>
            <w:tcW w:w="0" w:type="auto"/>
            <w:tcMar>
              <w:top w:w="150" w:type="dxa"/>
              <w:left w:w="150" w:type="dxa"/>
              <w:bottom w:w="150" w:type="dxa"/>
              <w:right w:w="150" w:type="dxa"/>
            </w:tcMar>
            <w:vAlign w:val="top"/>
          </w:tcPr>
          <w:p>
            <w:r>
              <w:rPr>
                <w:position w:val="-232"/>
              </w:rPr>
              <w:drawing>
                <wp:inline distT="0" distB="0" distL="0" distR="0">
                  <wp:extent cx="2232000" cy="1519200"/>
                  <wp:effectExtent b="0" l="0" r="0" t="0"/>
                  <wp:docPr id="68437680" name="name9854699daa1364736" descr="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jpg"/>
                          <pic:cNvPicPr/>
                        </pic:nvPicPr>
                        <pic:blipFill>
                          <a:blip r:embed="rId2139699daa1364730" cstate="print"/>
                          <a:stretch>
                            <a:fillRect/>
                          </a:stretch>
                        </pic:blipFill>
                        <pic:spPr>
                          <a:xfrm>
                            <a:off x="0" y="0"/>
                            <a:ext cx="2232000" cy="1519200"/>
                          </a:xfrm>
                          <a:prstGeom prst="rect">
                            <a:avLst/>
                          </a:prstGeom>
                          <a:ln w="0">
                            <a:noFill/>
                          </a:ln>
                        </pic:spPr>
                      </pic:pic>
                    </a:graphicData>
                  </a:graphic>
                </wp:inline>
              </w:drawing>
            </w:r>
            <w:r>
              <w:rPr>
                <w:color w:val="00274C"/>
                <w:position w:val="0"/>
                <w:sz w:val="20"/>
                <w:szCs w:val="20"/>
                <w:u w:val="none"/>
              </w:rPr>
              <w:t xml:space="preserve">  </w:t>
            </w:r>
            <w:r>
              <w:rPr>
                <w:b/>
                <w:bCs/>
                <w:color w:val="00274C"/>
                <w:position w:val="0"/>
                <w:sz w:val="20"/>
                <w:szCs w:val="20"/>
                <w:u w:val="none"/>
              </w:rPr>
              <w:br/>
              <w:t xml:space="preserve">Fig 2.2</w:t>
            </w:r>
          </w:p>
        </w:tc>
      </w:tr>
      <w:tr>
        <w:trPr>
          <w:trHeight w:val="0" w:hRule="atLeast"/>
        </w:trPr>
        <w:tc>
          <w:tcPr>
            <w:tcW w:w="0" w:type="auto"/>
            <w:gridSpan w:val="2"/>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Tab. 2.7</w:t>
            </w:r>
            <w:r>
              <w:rPr>
                <w:color w:val="00274C"/>
                <w:position w:val="-2"/>
                <w:sz w:val="20"/>
                <w:szCs w:val="20"/>
                <w:u w:val="none"/>
              </w:rPr>
              <w:t xml:space="preserve"> shows data that can be consulted on display </w:t>
            </w:r>
            <w:r>
              <w:rPr>
                <w:b/>
                <w:bCs/>
                <w:color w:val="00274C"/>
                <w:position w:val="-2"/>
                <w:sz w:val="20"/>
                <w:szCs w:val="20"/>
                <w:u w:val="none"/>
              </w:rPr>
              <w:t xml:space="preserve">D</w:t>
            </w:r>
            <w:r>
              <w:rPr>
                <w:color w:val="00274C"/>
                <w:position w:val="-2"/>
                <w:sz w:val="20"/>
                <w:szCs w:val="20"/>
                <w:u w:val="none"/>
              </w:rPr>
              <w:t xml:space="preserve"> by pressing push button </w:t>
            </w:r>
            <w:r>
              <w:rPr>
                <w:b/>
                <w:bCs/>
                <w:color w:val="00274C"/>
                <w:position w:val="-2"/>
                <w:sz w:val="20"/>
                <w:szCs w:val="20"/>
                <w:u w:val="none"/>
              </w:rPr>
              <w:t xml:space="preserve">E</w:t>
            </w:r>
            <w:r>
              <w:rPr>
                <w:color w:val="00274C"/>
                <w:position w:val="-2"/>
                <w:sz w:val="20"/>
                <w:szCs w:val="20"/>
                <w:u w:val="none"/>
              </w:rPr>
              <w:t xml:space="preserve"> .</w:t>
            </w:r>
          </w:p>
          <w:p>
            <w:pPr>
              <w:widowControl w:val="on"/>
              <w:pBdr/>
              <w:spacing w:before="0" w:after="0" w:line="262" w:lineRule="auto"/>
              <w:ind w:left="0" w:right="0"/>
              <w:jc w:val="left"/>
              <w:textAlignment w:val="center"/>
            </w:pPr>
            <w:r>
              <w:rPr>
                <w:b/>
                <w:bCs/>
                <w:color w:val="00274C"/>
                <w:position w:val="-2"/>
                <w:sz w:val="20"/>
                <w:szCs w:val="20"/>
                <w:u w:val="none"/>
              </w:rPr>
              <w:br/>
              <w:t xml:space="preserve">Tab 2.7</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POS.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DESCRIPTION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27"/>
                    </w:rPr>
                    <w:drawing>
                      <wp:inline distT="0" distB="0" distL="0" distR="0">
                        <wp:extent cx="576000" cy="410400"/>
                        <wp:effectExtent b="0" l="0" r="0" t="0"/>
                        <wp:docPr id="19602864" name="name5977699daa136cbaa" descr="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3.jpg"/>
                                <pic:cNvPicPr/>
                              </pic:nvPicPr>
                              <pic:blipFill>
                                <a:blip r:embed="rId9961699daa136cba5" cstate="print"/>
                                <a:stretch>
                                  <a:fillRect/>
                                </a:stretch>
                              </pic:blipFill>
                              <pic:spPr>
                                <a:xfrm>
                                  <a:off x="0" y="0"/>
                                  <a:ext cx="576000" cy="410400"/>
                                </a:xfrm>
                                <a:prstGeom prst="rect">
                                  <a:avLst/>
                                </a:prstGeom>
                                <a:ln w="0">
                                  <a:noFill/>
                                </a:ln>
                              </pic:spPr>
                            </pic:pic>
                          </a:graphicData>
                        </a:graphic>
                      </wp:inline>
                    </w:drawing>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Coolant temperature ( </w:t>
                  </w:r>
                  <w:r>
                    <w:rPr>
                      <w:b/>
                      <w:bCs/>
                      <w:color w:val="00274C"/>
                      <w:position w:val="-2"/>
                      <w:sz w:val="20"/>
                      <w:szCs w:val="20"/>
                      <w:u w:val="none"/>
                      <w:shd w:val="clear" w:color="auto" w:fill="E1E2E0"/>
                    </w:rPr>
                    <w:t xml:space="preserve">°C</w:t>
                  </w:r>
                  <w:r>
                    <w:rPr>
                      <w:color w:val="00274C"/>
                      <w:position w:val="-2"/>
                      <w:sz w:val="20"/>
                      <w:szCs w:val="20"/>
                      <w:u w:val="none"/>
                      <w:shd w:val="clear" w:color="auto" w:fill="E1E2E0"/>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25"/>
                    </w:rPr>
                    <w:drawing>
                      <wp:inline distT="0" distB="0" distL="0" distR="0">
                        <wp:extent cx="576000" cy="396000"/>
                        <wp:effectExtent b="0" l="0" r="0" t="0"/>
                        <wp:docPr id="68533233" name="name4576699daa137b141" descr="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jpg"/>
                                <pic:cNvPicPr/>
                              </pic:nvPicPr>
                              <pic:blipFill>
                                <a:blip r:embed="rId7051699daa137b13d" cstate="print"/>
                                <a:stretch>
                                  <a:fillRect/>
                                </a:stretch>
                              </pic:blipFill>
                              <pic:spPr>
                                <a:xfrm>
                                  <a:off x="0" y="0"/>
                                  <a:ext cx="576000" cy="396000"/>
                                </a:xfrm>
                                <a:prstGeom prst="rect">
                                  <a:avLst/>
                                </a:prstGeom>
                                <a:ln w="0">
                                  <a:noFill/>
                                </a:ln>
                              </pic:spPr>
                            </pic:pic>
                          </a:graphicData>
                        </a:graphic>
                      </wp:inline>
                    </w:drawing>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Oil pressure ( </w:t>
                  </w:r>
                  <w:r>
                    <w:rPr>
                      <w:b/>
                      <w:bCs/>
                      <w:color w:val="00274C"/>
                      <w:position w:val="-2"/>
                      <w:sz w:val="20"/>
                      <w:szCs w:val="20"/>
                      <w:u w:val="none"/>
                      <w:shd w:val="clear" w:color="auto" w:fill="E1E2E0"/>
                    </w:rPr>
                    <w:t xml:space="preserve">bar</w:t>
                  </w:r>
                  <w:r>
                    <w:rPr>
                      <w:color w:val="00274C"/>
                      <w:position w:val="-2"/>
                      <w:sz w:val="20"/>
                      <w:szCs w:val="20"/>
                      <w:u w:val="none"/>
                      <w:shd w:val="clear" w:color="auto" w:fill="E1E2E0"/>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25"/>
                    </w:rPr>
                    <w:drawing>
                      <wp:inline distT="0" distB="0" distL="0" distR="0">
                        <wp:extent cx="576000" cy="388800"/>
                        <wp:effectExtent b="0" l="0" r="0" t="0"/>
                        <wp:docPr id="66214703" name="name5690699daa138364c" descr="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jpg"/>
                                <pic:cNvPicPr/>
                              </pic:nvPicPr>
                              <pic:blipFill>
                                <a:blip r:embed="rId8822699daa1383647" cstate="print"/>
                                <a:stretch>
                                  <a:fillRect/>
                                </a:stretch>
                              </pic:blipFill>
                              <pic:spPr>
                                <a:xfrm>
                                  <a:off x="0" y="0"/>
                                  <a:ext cx="576000" cy="388800"/>
                                </a:xfrm>
                                <a:prstGeom prst="rect">
                                  <a:avLst/>
                                </a:prstGeom>
                                <a:ln w="0">
                                  <a:noFill/>
                                </a:ln>
                              </pic:spPr>
                            </pic:pic>
                          </a:graphicData>
                        </a:graphic>
                      </wp:inline>
                    </w:drawing>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Battery voltage ( </w:t>
                  </w:r>
                  <w:r>
                    <w:rPr>
                      <w:b/>
                      <w:bCs/>
                      <w:color w:val="00274C"/>
                      <w:position w:val="-2"/>
                      <w:sz w:val="20"/>
                      <w:szCs w:val="20"/>
                      <w:u w:val="none"/>
                      <w:shd w:val="clear" w:color="auto" w:fill="E1E2E0"/>
                    </w:rPr>
                    <w:t xml:space="preserve">V</w:t>
                  </w:r>
                  <w:r>
                    <w:rPr>
                      <w:color w:val="00274C"/>
                      <w:position w:val="-2"/>
                      <w:sz w:val="20"/>
                      <w:szCs w:val="20"/>
                      <w:u w:val="none"/>
                      <w:shd w:val="clear" w:color="auto" w:fill="E1E2E0"/>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25"/>
                    </w:rPr>
                    <w:drawing>
                      <wp:inline distT="0" distB="0" distL="0" distR="0">
                        <wp:extent cx="576000" cy="388800"/>
                        <wp:effectExtent b="0" l="0" r="0" t="0"/>
                        <wp:docPr id="98736608" name="name5535699daa138ab7b" descr="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6.jpg"/>
                                <pic:cNvPicPr/>
                              </pic:nvPicPr>
                              <pic:blipFill>
                                <a:blip r:embed="rId3726699daa138ab76" cstate="print"/>
                                <a:stretch>
                                  <a:fillRect/>
                                </a:stretch>
                              </pic:blipFill>
                              <pic:spPr>
                                <a:xfrm>
                                  <a:off x="0" y="0"/>
                                  <a:ext cx="576000" cy="388800"/>
                                </a:xfrm>
                                <a:prstGeom prst="rect">
                                  <a:avLst/>
                                </a:prstGeom>
                                <a:ln w="0">
                                  <a:noFill/>
                                </a:ln>
                              </pic:spPr>
                            </pic:pic>
                          </a:graphicData>
                        </a:graphic>
                      </wp:inline>
                    </w:drawing>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Total and partial hours of operation </w:t>
                  </w:r>
                  <w:r>
                    <w:rPr>
                      <w:i/>
                      <w:iCs/>
                      <w:color w:val="00274C"/>
                      <w:position w:val="-2"/>
                      <w:sz w:val="20"/>
                      <w:szCs w:val="20"/>
                      <w:u w:val="none"/>
                      <w:shd w:val="clear" w:color="auto" w:fill="E1E2E0"/>
                    </w:rPr>
                    <w:t xml:space="preserve">(</w:t>
                  </w:r>
                  <w:r>
                    <w:rPr>
                      <w:color w:val="00274C"/>
                      <w:position w:val="-2"/>
                      <w:sz w:val="20"/>
                      <w:szCs w:val="20"/>
                      <w:u w:val="none"/>
                      <w:shd w:val="clear" w:color="auto" w:fill="E1E2E0"/>
                    </w:rPr>
                    <w:t xml:space="preserve"> </w:t>
                  </w:r>
                  <w:r>
                    <w:rPr>
                      <w:b/>
                      <w:bCs/>
                      <w:color w:val="00274C"/>
                      <w:position w:val="-2"/>
                      <w:sz w:val="20"/>
                      <w:szCs w:val="20"/>
                      <w:u w:val="none"/>
                      <w:shd w:val="clear" w:color="auto" w:fill="E1E2E0"/>
                    </w:rPr>
                    <w:t xml:space="preserve">h</w:t>
                  </w:r>
                  <w:r>
                    <w:rPr>
                      <w:color w:val="00274C"/>
                      <w:position w:val="-2"/>
                      <w:sz w:val="20"/>
                      <w:szCs w:val="20"/>
                      <w:u w:val="none"/>
                      <w:shd w:val="clear" w:color="auto" w:fill="E1E2E0"/>
                    </w:rPr>
                    <w:t xml:space="preserve"> )</w:t>
                  </w:r>
                </w:p>
                <w:p>
                  <w:pPr>
                    <w:numPr>
                      <w:ilvl w:val="0"/>
                      <w:numId w:val="24050"/>
                    </w:numPr>
                    <w:shd w:val="clear" w:color="auto" w:fill="E1E2E0"/>
                    <w:spacing w:before="0" w:after="0" w:line="262" w:lineRule="auto"/>
                    <w:jc w:val="left"/>
                    <w:rPr>
                      <w:color w:val="00274C"/>
                      <w:sz w:val="20"/>
                      <w:szCs w:val="20"/>
                      <w:highlight w:val="lightGray"/>
                    </w:rPr>
                  </w:pPr>
                  <w:r>
                    <w:rPr>
                      <w:i/>
                      <w:iCs/>
                      <w:color w:val="00274C"/>
                      <w:position w:val="-2"/>
                      <w:sz w:val="20"/>
                      <w:szCs w:val="20"/>
                      <w:u w:val="none"/>
                      <w:shd w:val="clear" w:color="auto" w:fill="E1E2E0"/>
                    </w:rPr>
                    <w:br/>
                    <w:t xml:space="preserve">To reset partial hours, simultaneously press push buttons </w:t>
                  </w:r>
                  <w:r>
                    <w:rPr>
                      <w:b/>
                      <w:bCs/>
                      <w:i/>
                      <w:iCs/>
                      <w:color w:val="00274C"/>
                      <w:position w:val="-2"/>
                      <w:sz w:val="20"/>
                      <w:szCs w:val="20"/>
                      <w:u w:val="none"/>
                      <w:shd w:val="clear" w:color="auto" w:fill="E1E2E0"/>
                    </w:rPr>
                    <w:t xml:space="preserve">E</w:t>
                  </w:r>
                  <w:r>
                    <w:rPr>
                      <w:i/>
                      <w:iCs/>
                      <w:color w:val="00274C"/>
                      <w:position w:val="-2"/>
                      <w:sz w:val="20"/>
                      <w:szCs w:val="20"/>
                      <w:u w:val="none"/>
                      <w:shd w:val="clear" w:color="auto" w:fill="E1E2E0"/>
                    </w:rPr>
                    <w:t xml:space="preserve"> and </w:t>
                  </w:r>
                  <w:r>
                    <w:rPr>
                      <w:b/>
                      <w:bCs/>
                      <w:i/>
                      <w:iCs/>
                      <w:color w:val="00274C"/>
                      <w:position w:val="-2"/>
                      <w:sz w:val="20"/>
                      <w:szCs w:val="20"/>
                      <w:u w:val="none"/>
                      <w:shd w:val="clear" w:color="auto" w:fill="E1E2E0"/>
                    </w:rPr>
                    <w:t xml:space="preserve">F</w:t>
                  </w:r>
                  <w:r>
                    <w:rPr>
                      <w:i/>
                      <w:iCs/>
                      <w:color w:val="00274C"/>
                      <w:position w:val="-2"/>
                      <w:sz w:val="20"/>
                      <w:szCs w:val="20"/>
                      <w:u w:val="none"/>
                      <w:shd w:val="clear" w:color="auto" w:fill="E1E2E0"/>
                    </w:rPr>
                    <w:t xml:space="preserve"> for </w:t>
                  </w:r>
                  <w:r>
                    <w:rPr>
                      <w:b/>
                      <w:bCs/>
                      <w:i/>
                      <w:iCs/>
                      <w:color w:val="00274C"/>
                      <w:position w:val="-2"/>
                      <w:sz w:val="20"/>
                      <w:szCs w:val="20"/>
                      <w:u w:val="none"/>
                      <w:shd w:val="clear" w:color="auto" w:fill="E1E2E0"/>
                    </w:rPr>
                    <w:t xml:space="preserve">3</w:t>
                  </w:r>
                  <w:r>
                    <w:rPr>
                      <w:i/>
                      <w:iCs/>
                      <w:color w:val="00274C"/>
                      <w:position w:val="-2"/>
                      <w:sz w:val="20"/>
                      <w:szCs w:val="20"/>
                      <w:u w:val="none"/>
                      <w:shd w:val="clear" w:color="auto" w:fill="E1E2E0"/>
                    </w:rPr>
                    <w:t xml:space="preserve"> </w:t>
                  </w:r>
                  <w:r>
                    <w:rPr>
                      <w:b/>
                      <w:bCs/>
                      <w:i/>
                      <w:iCs/>
                      <w:color w:val="00274C"/>
                      <w:position w:val="-2"/>
                      <w:sz w:val="20"/>
                      <w:szCs w:val="20"/>
                      <w:u w:val="none"/>
                      <w:shd w:val="clear" w:color="auto" w:fill="E1E2E0"/>
                    </w:rPr>
                    <w:t xml:space="preserve">seconds</w:t>
                  </w:r>
                  <w:r>
                    <w:rPr>
                      <w:color w:val="00274C"/>
                      <w:position w:val="-2"/>
                      <w:sz w:val="20"/>
                      <w:szCs w:val="20"/>
                      <w:u w:val="none"/>
                      <w:shd w:val="clear" w:color="auto" w:fill="E1E2E0"/>
                    </w:rPr>
                    <w:t xml:space="preserve"> </w:t>
                  </w:r>
                  <w:r>
                    <w:rPr>
                      <w:i/>
                      <w:iCs/>
                      <w:color w:val="00274C"/>
                      <w:position w:val="-2"/>
                      <w:sz w:val="20"/>
                      <w:szCs w:val="20"/>
                      <w:u w:val="none"/>
                      <w:shd w:val="clear" w:color="auto" w:fill="E1E2E0"/>
                    </w:rPr>
                    <w:t xml:space="preserv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25"/>
                    </w:rPr>
                    <w:drawing>
                      <wp:inline distT="0" distB="0" distL="0" distR="0">
                        <wp:extent cx="576000" cy="396000"/>
                        <wp:effectExtent b="0" l="0" r="0" t="0"/>
                        <wp:docPr id="53893593" name="name9911699daa1393395" descr="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7.jpg"/>
                                <pic:cNvPicPr/>
                              </pic:nvPicPr>
                              <pic:blipFill>
                                <a:blip r:embed="rId7077699daa1393390" cstate="print"/>
                                <a:stretch>
                                  <a:fillRect/>
                                </a:stretch>
                              </pic:blipFill>
                              <pic:spPr>
                                <a:xfrm>
                                  <a:off x="0" y="0"/>
                                  <a:ext cx="576000" cy="396000"/>
                                </a:xfrm>
                                <a:prstGeom prst="rect">
                                  <a:avLst/>
                                </a:prstGeom>
                                <a:ln w="0">
                                  <a:noFill/>
                                </a:ln>
                              </pic:spPr>
                            </pic:pic>
                          </a:graphicData>
                        </a:graphic>
                      </wp:inline>
                    </w:drawing>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Hours left for maintenance ( </w:t>
                  </w:r>
                  <w:r>
                    <w:rPr>
                      <w:b/>
                      <w:bCs/>
                      <w:color w:val="00274C"/>
                      <w:position w:val="-2"/>
                      <w:sz w:val="20"/>
                      <w:szCs w:val="20"/>
                      <w:u w:val="none"/>
                      <w:shd w:val="clear" w:color="auto" w:fill="E1E2E0"/>
                    </w:rPr>
                    <w:t xml:space="preserve">h</w:t>
                  </w:r>
                  <w:r>
                    <w:rPr>
                      <w:color w:val="00274C"/>
                      <w:position w:val="-2"/>
                      <w:sz w:val="20"/>
                      <w:szCs w:val="20"/>
                      <w:u w:val="none"/>
                      <w:shd w:val="clear" w:color="auto" w:fill="E1E2E0"/>
                    </w:rPr>
                    <w:t xml:space="preserve">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25"/>
                    </w:rPr>
                    <w:drawing>
                      <wp:inline distT="0" distB="0" distL="0" distR="0">
                        <wp:extent cx="576000" cy="396000"/>
                        <wp:effectExtent b="0" l="0" r="0" t="0"/>
                        <wp:docPr id="24654278" name="name2097699daa139f41a" descr="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8.jpg"/>
                                <pic:cNvPicPr/>
                              </pic:nvPicPr>
                              <pic:blipFill>
                                <a:blip r:embed="rId3975699daa139f415" cstate="print"/>
                                <a:stretch>
                                  <a:fillRect/>
                                </a:stretch>
                              </pic:blipFill>
                              <pic:spPr>
                                <a:xfrm>
                                  <a:off x="0" y="0"/>
                                  <a:ext cx="576000" cy="396000"/>
                                </a:xfrm>
                                <a:prstGeom prst="rect">
                                  <a:avLst/>
                                </a:prstGeom>
                                <a:ln w="0">
                                  <a:noFill/>
                                </a:ln>
                              </pic:spPr>
                            </pic:pic>
                          </a:graphicData>
                        </a:graphic>
                      </wp:inline>
                    </w:drawing>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Backlighting adjustment</w:t>
                  </w:r>
                </w:p>
                <w:p>
                  <w:pPr>
                    <w:numPr>
                      <w:ilvl w:val="0"/>
                      <w:numId w:val="24050"/>
                    </w:numPr>
                    <w:shd w:val="clear" w:color="auto" w:fill="E1E2E0"/>
                    <w:spacing w:before="0" w:after="0" w:line="262" w:lineRule="auto"/>
                    <w:jc w:val="left"/>
                    <w:rPr>
                      <w:color w:val="00274C"/>
                      <w:sz w:val="20"/>
                      <w:szCs w:val="20"/>
                      <w:highlight w:val="lightGray"/>
                    </w:rPr>
                  </w:pPr>
                  <w:r>
                    <w:rPr>
                      <w:i/>
                      <w:iCs/>
                      <w:color w:val="00274C"/>
                      <w:position w:val="-2"/>
                      <w:sz w:val="20"/>
                      <w:szCs w:val="20"/>
                      <w:u w:val="none"/>
                      <w:shd w:val="clear" w:color="auto" w:fill="E1E2E0"/>
                    </w:rPr>
                    <w:br/>
                    <w:t xml:space="preserve">Press push button </w:t>
                  </w:r>
                  <w:r>
                    <w:rPr>
                      <w:b/>
                      <w:bCs/>
                      <w:i/>
                      <w:iCs/>
                      <w:color w:val="00274C"/>
                      <w:position w:val="-2"/>
                      <w:sz w:val="20"/>
                      <w:szCs w:val="20"/>
                      <w:u w:val="none"/>
                      <w:shd w:val="clear" w:color="auto" w:fill="E1E2E0"/>
                    </w:rPr>
                    <w:t xml:space="preserve">E</w:t>
                  </w:r>
                  <w:r>
                    <w:rPr>
                      <w:i/>
                      <w:iCs/>
                      <w:color w:val="00274C"/>
                      <w:position w:val="-2"/>
                      <w:sz w:val="20"/>
                      <w:szCs w:val="20"/>
                      <w:u w:val="none"/>
                      <w:shd w:val="clear" w:color="auto" w:fill="E1E2E0"/>
                    </w:rPr>
                    <w:t xml:space="preserve"> for </w:t>
                  </w:r>
                  <w:r>
                    <w:rPr>
                      <w:b/>
                      <w:bCs/>
                      <w:i/>
                      <w:iCs/>
                      <w:color w:val="00274C"/>
                      <w:position w:val="-2"/>
                      <w:sz w:val="20"/>
                      <w:szCs w:val="20"/>
                      <w:u w:val="none"/>
                      <w:shd w:val="clear" w:color="auto" w:fill="E1E2E0"/>
                    </w:rPr>
                    <w:t xml:space="preserve">3</w:t>
                  </w:r>
                  <w:r>
                    <w:rPr>
                      <w:i/>
                      <w:iCs/>
                      <w:color w:val="00274C"/>
                      <w:position w:val="-2"/>
                      <w:sz w:val="20"/>
                      <w:szCs w:val="20"/>
                      <w:u w:val="none"/>
                      <w:shd w:val="clear" w:color="auto" w:fill="E1E2E0"/>
                    </w:rPr>
                    <w:t xml:space="preserve"> </w:t>
                  </w:r>
                  <w:r>
                    <w:rPr>
                      <w:b/>
                      <w:bCs/>
                      <w:i/>
                      <w:iCs/>
                      <w:color w:val="00274C"/>
                      <w:position w:val="-2"/>
                      <w:sz w:val="20"/>
                      <w:szCs w:val="20"/>
                      <w:u w:val="none"/>
                      <w:shd w:val="clear" w:color="auto" w:fill="E1E2E0"/>
                    </w:rPr>
                    <w:t xml:space="preserve">seconds</w:t>
                  </w:r>
                </w:p>
                <w:p>
                  <w:pPr>
                    <w:numPr>
                      <w:ilvl w:val="0"/>
                      <w:numId w:val="24050"/>
                    </w:numPr>
                    <w:shd w:val="clear" w:color="auto" w:fill="E1E2E0"/>
                    <w:spacing w:before="0" w:after="0" w:line="262" w:lineRule="auto"/>
                    <w:jc w:val="left"/>
                    <w:rPr>
                      <w:color w:val="00274C"/>
                      <w:sz w:val="20"/>
                      <w:szCs w:val="20"/>
                      <w:highlight w:val="lightGray"/>
                    </w:rPr>
                  </w:pPr>
                  <w:r>
                    <w:rPr>
                      <w:i/>
                      <w:iCs/>
                      <w:color w:val="00274C"/>
                      <w:position w:val="-2"/>
                      <w:sz w:val="20"/>
                      <w:szCs w:val="20"/>
                      <w:u w:val="none"/>
                      <w:shd w:val="clear" w:color="auto" w:fill="E1E2E0"/>
                    </w:rPr>
                    <w:t xml:space="preserve">Press push button </w:t>
                  </w:r>
                  <w:r>
                    <w:rPr>
                      <w:b/>
                      <w:bCs/>
                      <w:i/>
                      <w:iCs/>
                      <w:color w:val="00274C"/>
                      <w:position w:val="-2"/>
                      <w:sz w:val="20"/>
                      <w:szCs w:val="20"/>
                      <w:u w:val="none"/>
                      <w:shd w:val="clear" w:color="auto" w:fill="E1E2E0"/>
                    </w:rPr>
                    <w:t xml:space="preserve">E</w:t>
                  </w:r>
                  <w:r>
                    <w:rPr>
                      <w:i/>
                      <w:iCs/>
                      <w:color w:val="00274C"/>
                      <w:position w:val="-2"/>
                      <w:sz w:val="20"/>
                      <w:szCs w:val="20"/>
                      <w:u w:val="none"/>
                      <w:shd w:val="clear" w:color="auto" w:fill="E1E2E0"/>
                    </w:rPr>
                    <w:t xml:space="preserve"> to decrease brightness or </w:t>
                  </w:r>
                  <w:r>
                    <w:rPr>
                      <w:b/>
                      <w:bCs/>
                      <w:i/>
                      <w:iCs/>
                      <w:color w:val="00274C"/>
                      <w:position w:val="-2"/>
                      <w:sz w:val="20"/>
                      <w:szCs w:val="20"/>
                      <w:u w:val="none"/>
                      <w:shd w:val="clear" w:color="auto" w:fill="E1E2E0"/>
                    </w:rPr>
                    <w:t xml:space="preserve">F</w:t>
                  </w:r>
                  <w:r>
                    <w:rPr>
                      <w:i/>
                      <w:iCs/>
                      <w:color w:val="00274C"/>
                      <w:position w:val="-2"/>
                      <w:sz w:val="20"/>
                      <w:szCs w:val="20"/>
                      <w:u w:val="none"/>
                      <w:shd w:val="clear" w:color="auto" w:fill="E1E2E0"/>
                    </w:rPr>
                    <w:t xml:space="preserve"> to increase it</w:t>
                  </w:r>
                </w:p>
              </w:tc>
            </w:tr>
          </w:tbl>
          <w:p/>
        </w:tc>
      </w:tr>
    </w:tbl>
    <w:p>
      <w:pPr>
        <w:widowControl w:val="on"/>
        <w:pBdr/>
        <w:spacing w:before="0" w:after="0" w:line="262" w:lineRule="auto"/>
        <w:ind w:left="0" w:right="0"/>
        <w:jc w:val="left"/>
      </w:pPr>
      <w:r>
        <w:rPr>
          <w:color w:val="00274C"/>
          <w:sz w:val="20"/>
          <w:szCs w:val="20"/>
          <w:u w:val="none"/>
        </w:rPr>
        <w:t xml:space="preserve"> </w:t>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7ADF1" w14:textId="77777777" w:rsidR="006F534E" w:rsidRDefault="006F534E" w:rsidP="001F6AC5">
      <w:r>
        <w:separator/>
      </w:r>
    </w:p>
  </w:endnote>
  <w:endnote w:type="continuationSeparator" w:id="0">
    <w:p w14:paraId="5027009A" w14:textId="77777777" w:rsidR="006F534E" w:rsidRDefault="006F534E"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embedRegular r:id="rId1" w:fontKey="{0B99C823-4782-4F8E-B157-E9250D94EBEF}"/>
    <w:embedBold r:id="rId2" w:fontKey="{1F4D32D6-3A36-4E04-A7AB-C454D64A5CB7}"/>
    <w:embedItalic r:id="rId3" w:fontKey="{D075542F-D7CD-4A74-ABFD-D5D9C7AA3462}"/>
    <w:embedBoldItalic r:id="rId4" w:fontKey="{185503AB-AFA1-4B25-8D15-33AB58DDEE31}"/>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71"/>
      <w:gridCol w:w="5290"/>
      <w:gridCol w:w="5646"/>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8"/>
      <w:gridCol w:w="4781"/>
      <w:gridCol w:w="5090"/>
      <w:gridCol w:w="877"/>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6"/>
      <w:gridCol w:w="9179"/>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5"/>
      <w:gridCol w:w="9045"/>
      <w:gridCol w:w="877"/>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90731" w14:textId="77777777" w:rsidR="006F534E" w:rsidRDefault="006F534E" w:rsidP="001F6AC5">
      <w:r>
        <w:separator/>
      </w:r>
    </w:p>
  </w:footnote>
  <w:footnote w:type="continuationSeparator" w:id="0">
    <w:p w14:paraId="77D76DD4" w14:textId="77777777" w:rsidR="006F534E" w:rsidRDefault="006F534E"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3C30C392">
                <wp:extent cx="728193" cy="194184"/>
                <wp:effectExtent l="0" t="0" r="0" b="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magin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25ED253D">
                <wp:extent cx="728193" cy="194184"/>
                <wp:effectExtent l="0" t="0" r="0" b="0"/>
                <wp:docPr id="41"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magine 4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07663BF9"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0AE153BE"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663448">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0A241CBD">
                <wp:extent cx="728193" cy="194184"/>
                <wp:effectExtent l="0" t="0" r="0" b="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magine 4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1D060EE">
                <wp:extent cx="728193" cy="194184"/>
                <wp:effectExtent l="0" t="0" r="0" b="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magine 4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4548C273" w14:textId="46DCB77D"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663448">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53017EC9"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24051">
    <w:multiLevelType w:val="hybridMultilevel"/>
    <w:lvl w:ilvl="0" w:tplc="49946662">
      <w:start w:val="1"/>
      <w:numFmt w:val="decimal"/>
      <w:lvlText w:val="%1."/>
      <w:lvlJc w:val="left"/>
      <w:pPr>
        <w:ind w:left="720" w:hanging="360"/>
      </w:pPr>
    </w:lvl>
    <w:lvl w:ilvl="1" w:tplc="49946662" w:tentative="1">
      <w:start w:val="1"/>
      <w:numFmt w:val="lowerLetter"/>
      <w:lvlText w:val="%2."/>
      <w:lvlJc w:val="left"/>
      <w:pPr>
        <w:ind w:left="1440" w:hanging="360"/>
      </w:pPr>
    </w:lvl>
    <w:lvl w:ilvl="2" w:tplc="49946662" w:tentative="1">
      <w:start w:val="1"/>
      <w:numFmt w:val="lowerRoman"/>
      <w:lvlText w:val="%3."/>
      <w:lvlJc w:val="right"/>
      <w:pPr>
        <w:ind w:left="2160" w:hanging="180"/>
      </w:pPr>
    </w:lvl>
    <w:lvl w:ilvl="3" w:tplc="49946662" w:tentative="1">
      <w:start w:val="1"/>
      <w:numFmt w:val="decimal"/>
      <w:lvlText w:val="%4."/>
      <w:lvlJc w:val="left"/>
      <w:pPr>
        <w:ind w:left="2880" w:hanging="360"/>
      </w:pPr>
    </w:lvl>
    <w:lvl w:ilvl="4" w:tplc="49946662" w:tentative="1">
      <w:start w:val="1"/>
      <w:numFmt w:val="lowerLetter"/>
      <w:lvlText w:val="%5."/>
      <w:lvlJc w:val="left"/>
      <w:pPr>
        <w:ind w:left="3600" w:hanging="360"/>
      </w:pPr>
    </w:lvl>
    <w:lvl w:ilvl="5" w:tplc="49946662" w:tentative="1">
      <w:start w:val="1"/>
      <w:numFmt w:val="lowerRoman"/>
      <w:lvlText w:val="%6."/>
      <w:lvlJc w:val="right"/>
      <w:pPr>
        <w:ind w:left="4320" w:hanging="180"/>
      </w:pPr>
    </w:lvl>
    <w:lvl w:ilvl="6" w:tplc="49946662" w:tentative="1">
      <w:start w:val="1"/>
      <w:numFmt w:val="decimal"/>
      <w:lvlText w:val="%7."/>
      <w:lvlJc w:val="left"/>
      <w:pPr>
        <w:ind w:left="5040" w:hanging="360"/>
      </w:pPr>
    </w:lvl>
    <w:lvl w:ilvl="7" w:tplc="49946662" w:tentative="1">
      <w:start w:val="1"/>
      <w:numFmt w:val="lowerLetter"/>
      <w:lvlText w:val="%8."/>
      <w:lvlJc w:val="left"/>
      <w:pPr>
        <w:ind w:left="5760" w:hanging="360"/>
      </w:pPr>
    </w:lvl>
    <w:lvl w:ilvl="8" w:tplc="49946662" w:tentative="1">
      <w:start w:val="1"/>
      <w:numFmt w:val="lowerRoman"/>
      <w:lvlText w:val="%9."/>
      <w:lvlJc w:val="right"/>
      <w:pPr>
        <w:ind w:left="6480" w:hanging="180"/>
      </w:pPr>
    </w:lvl>
  </w:abstractNum>
  <w:abstractNum w:abstractNumId="24050">
    <w:multiLevelType w:val="hybridMultilevel"/>
    <w:lvl w:ilvl="0" w:tplc="649633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24050">
    <w:abstractNumId w:val="24050"/>
  </w:num>
  <w:num w:numId="24051">
    <w:abstractNumId w:val="240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3448"/>
    <w:rsid w:val="00665FA1"/>
    <w:rsid w:val="006A1243"/>
    <w:rsid w:val="006B1E45"/>
    <w:rsid w:val="006D432C"/>
    <w:rsid w:val="006E1571"/>
    <w:rsid w:val="006F1130"/>
    <w:rsid w:val="006F534E"/>
    <w:rsid w:val="006F730B"/>
    <w:rsid w:val="00721871"/>
    <w:rsid w:val="007714A9"/>
    <w:rsid w:val="007A5F9D"/>
    <w:rsid w:val="007B279A"/>
    <w:rsid w:val="007B7B4C"/>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775506612" Type="http://schemas.openxmlformats.org/officeDocument/2006/relationships/comments" Target="comments.xml"/><Relationship Id="rId235258237" Type="http://schemas.microsoft.com/office/2011/relationships/commentsExtended" Target="commentsExtended.xml"/><Relationship Id="rId34651034" Type="http://schemas.openxmlformats.org/officeDocument/2006/relationships/image" Target="media/imgrId34651034.jpg"/><Relationship Id="rId5314699daa130b4a9" Type="http://schemas.openxmlformats.org/officeDocument/2006/relationships/hyperlink" Target="https://iservice.lombardini.it/jsp/Template2/manuale.jsp?id=250&amp;parent=1604" TargetMode="External"/><Relationship Id="rId8454699daa12de4f6" Type="http://schemas.openxmlformats.org/officeDocument/2006/relationships/image" Target="media/imgrId8454699daa12de4f6.jpg"/><Relationship Id="rId4839699daa12efeb3" Type="http://schemas.openxmlformats.org/officeDocument/2006/relationships/image" Target="media/imgrId4839699daa12efeb3.jpg"/><Relationship Id="rId7690699daa130248f" Type="http://schemas.openxmlformats.org/officeDocument/2006/relationships/image" Target="media/imgrId7690699daa130248f.jpg"/><Relationship Id="rId6681699daa130a887" Type="http://schemas.openxmlformats.org/officeDocument/2006/relationships/image" Target="media/imgrId6681699daa130a887.jpg"/><Relationship Id="rId2155699daa13128dc" Type="http://schemas.openxmlformats.org/officeDocument/2006/relationships/image" Target="media/imgrId2155699daa13128dc.jpg"/><Relationship Id="rId5239699daa131a3af" Type="http://schemas.openxmlformats.org/officeDocument/2006/relationships/image" Target="media/imgrId5239699daa131a3af.jpg"/><Relationship Id="rId3415699daa1325ba7" Type="http://schemas.openxmlformats.org/officeDocument/2006/relationships/image" Target="media/imgrId3415699daa1325ba7.jpg"/><Relationship Id="rId5175699daa13302e1" Type="http://schemas.openxmlformats.org/officeDocument/2006/relationships/image" Target="media/imgrId5175699daa13302e1.jpg"/><Relationship Id="rId6185699daa1338648" Type="http://schemas.openxmlformats.org/officeDocument/2006/relationships/image" Target="media/imgrId6185699daa1338648.jpg"/><Relationship Id="rId1609699daa1348062" Type="http://schemas.openxmlformats.org/officeDocument/2006/relationships/image" Target="media/imgrId1609699daa1348062.jpg"/><Relationship Id="rId9954699daa13504da" Type="http://schemas.openxmlformats.org/officeDocument/2006/relationships/image" Target="media/imgrId9954699daa13504da.png"/><Relationship Id="rId2139699daa1364730" Type="http://schemas.openxmlformats.org/officeDocument/2006/relationships/image" Target="media/imgrId2139699daa1364730.jpg"/><Relationship Id="rId9961699daa136cba5" Type="http://schemas.openxmlformats.org/officeDocument/2006/relationships/image" Target="media/imgrId9961699daa136cba5.jpg"/><Relationship Id="rId7051699daa137b13d" Type="http://schemas.openxmlformats.org/officeDocument/2006/relationships/image" Target="media/imgrId7051699daa137b13d.jpg"/><Relationship Id="rId8822699daa1383647" Type="http://schemas.openxmlformats.org/officeDocument/2006/relationships/image" Target="media/imgrId8822699daa1383647.jpg"/><Relationship Id="rId3726699daa138ab76" Type="http://schemas.openxmlformats.org/officeDocument/2006/relationships/image" Target="media/imgrId3726699daa138ab76.jpg"/><Relationship Id="rId7077699daa1393390" Type="http://schemas.openxmlformats.org/officeDocument/2006/relationships/image" Target="media/imgrId7077699daa1393390.jpg"/><Relationship Id="rId3975699daa139f415" Type="http://schemas.openxmlformats.org/officeDocument/2006/relationships/image" Target="media/imgrId3975699daa139f415.jp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7" Type="http://schemas.openxmlformats.org/officeDocument/2006/relationships/image" Target="media/image2.png"/><Relationship Id="rId34651034" Type="http://schemas.openxmlformats.org/officeDocument/2006/relationships/image" Target="media/imgrId34651034.jpg"/></Relationships>

</file>

<file path=word/_rels/footer2.xml.rels><?xml version="1.0" encoding="UTF-8" standalone="yes"?>
<Relationships xmlns="http://schemas.openxmlformats.org/package/2006/relationships"><Relationship Id="rId17" Type="http://schemas.openxmlformats.org/officeDocument/2006/relationships/image" Target="media/image2.png"/><Relationship Id="rId34651034" Type="http://schemas.openxmlformats.org/officeDocument/2006/relationships/image" Target="media/imgrId34651034.jpg"/></Relationships>

</file>

<file path=word/_rels/footer3.xml.rels><?xml version="1.0" encoding="UTF-8" standalone="yes"?>
<Relationships xmlns="http://schemas.openxmlformats.org/package/2006/relationships"><Relationship Id="rId17" Type="http://schemas.openxmlformats.org/officeDocument/2006/relationships/image" Target="media/image2.png"/><Relationship Id="rId34651034" Type="http://schemas.openxmlformats.org/officeDocument/2006/relationships/image" Target="media/imgrId34651034.jpg"/></Relationships>

</file>

<file path=word/_rels/footer4.xml.rels><?xml version="1.0" encoding="UTF-8" standalone="yes"?>
<Relationships xmlns="http://schemas.openxmlformats.org/package/2006/relationships"><Relationship Id="rId17" Type="http://schemas.openxmlformats.org/officeDocument/2006/relationships/image" Target="media/image2.png"/><Relationship Id="rId34651034" Type="http://schemas.openxmlformats.org/officeDocument/2006/relationships/image" Target="media/imgrId34651034.jpg"/></Relationships>

</file>

<file path=word/_rels/footer5.xml.rels><?xml version="1.0" encoding="UTF-8" standalone="yes"?>
<Relationships xmlns="http://schemas.openxmlformats.org/package/2006/relationships"><Relationship Id="rId17" Type="http://schemas.openxmlformats.org/officeDocument/2006/relationships/image" Target="media/image2.png"/><Relationship Id="rId34651034" Type="http://schemas.openxmlformats.org/officeDocument/2006/relationships/image" Target="media/imgrId34651034.jpg"/></Relationships>

</file>

<file path=word/_rels/footer6.xml.rels><?xml version="1.0" encoding="UTF-8" standalone="yes"?>
<Relationships xmlns="http://schemas.openxmlformats.org/package/2006/relationships"><Relationship Id="rId17" Type="http://schemas.openxmlformats.org/officeDocument/2006/relationships/image" Target="media/image2.png"/><Relationship Id="rId34651034" Type="http://schemas.openxmlformats.org/officeDocument/2006/relationships/image" Target="media/imgrId34651034.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B7B4C"/>
    <w:rsid w:val="007C764C"/>
    <w:rsid w:val="008113C5"/>
    <w:rsid w:val="008C4FAF"/>
    <w:rsid w:val="009C2D1B"/>
    <w:rsid w:val="009F5AA7"/>
    <w:rsid w:val="00AE30E1"/>
    <w:rsid w:val="00B151A2"/>
    <w:rsid w:val="00B8515A"/>
    <w:rsid w:val="00BB26C4"/>
    <w:rsid w:val="00C60EC8"/>
    <w:rsid w:val="00CA10A3"/>
    <w:rsid w:val="00CF1E6A"/>
    <w:rsid w:val="00D918BF"/>
    <w:rsid w:val="00DA3308"/>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6</Pages>
  <Words>71</Words>
  <Characters>411</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25</cp:revision>
  <dcterms:created xsi:type="dcterms:W3CDTF">2018-11-13T09:11:00Z</dcterms:created>
  <dcterms:modified xsi:type="dcterms:W3CDTF">2025-09-22T13:51:00Z</dcterms:modified>
</cp:coreProperties>
</file>