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Technische Angaben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1903TCR - TCRE5 - TC: Verwendung und Wartung (Rev_20.4)</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6096000" cy="6096000"/>
            <wp:effectExtent l="0" t="127000" r="0" b="0"/>
            <wp:docPr id="648212286"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99986768" cstate="print"/>
                    <a:stretch>
                      <a:fillRect/>
                    </a:stretch>
                  </pic:blipFill>
                  <pic:spPr>
                    <a:xfrm>
                      <a:off x="0" y="0"/>
                      <a:ext cx="6096000" cy="609600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
      </w:r>
    </w:p>
    <w:p>
      <w:pPr>
        <w:pStyle w:val="Normale"/>
        <w:jc w:val="center"/>
        <w:rPr/>
      </w:pPr>
      <w:r>
        <w:rPr/>
        <w:t xml:space="preserve"/>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ED005302-949</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21</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01/2013</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02/2026</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M.SILVESTRONE</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SERVICE DEPT</w:t>
            </w:r>
          </w:p>
        </w:tc>
      </w:tr>
    </w:tbl>
    <w:p/>
    <w:p>
      <w:pPr>
        <w:pStyle w:val="Normale"/>
        <w:jc w:val="center"/>
        <w:rPr/>
      </w:pPr>
      <w:r>
        <w:rPr>
          <w:b w:val="on"/>
          <w:bCs w:val="on"/>
        </w:rPr>
        <w:t xml:space="preserve"/>
      </w:r>
    </w:p>
    <w:p>
      <w:pPr>
        <w:pStyle w:val="Normale"/>
        <w:jc w:val="center"/>
        <w:rPr/>
      </w:pPr>
      <w:r>
        <w:rPr/>
        <w:t xml:space="preserve"/>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DD1E42" w:rsidP="00342EC8">
          <w:pPr>
            <w:pStyle w:val="Sommario2"/>
          </w:pPr>
          <w:hyperlink w:anchor="_Toc495648771" w:history="1">
            <w:r w:rsidRPr="004252A1">
              <w:rPr>
                <w:rStyle w:val="Collegamentoipertestuale"/>
              </w:rPr>
              <w:t>1.1.</w:t>
            </w:r>
            <w:r>
              <w:tab/>
            </w:r>
            <w:r w:rsidRPr="004252A1">
              <w:rPr>
                <w:rStyle w:val="Collegamentoipertestuale"/>
              </w:rPr>
              <w:t>Asdfsdfsdf</w:t>
            </w:r>
            <w:r>
              <w:rPr>
                <w:webHidden/>
              </w:rPr>
              <w:tab/>
            </w:r>
            <w:r>
              <w:rPr>
                <w:webHidden/>
              </w:rPr>
              <w:fldChar w:fldCharType="begin"/>
            </w:r>
            <w:r>
              <w:rPr>
                <w:webHidden/>
              </w:rPr>
              <w:instrText xml:space="preserve"> PAGEREF _Toc495648771 \h </w:instrText>
            </w:r>
            <w:r>
              <w:rPr>
                <w:webHidden/>
              </w:rPr>
            </w:r>
            <w:r>
              <w:rPr>
                <w:webHidden/>
              </w:rPr>
              <w:fldChar w:fldCharType="separate"/>
            </w:r>
            <w:r>
              <w:rPr>
                <w:webHidden/>
              </w:rPr>
              <w:t>2</w:t>
            </w:r>
            <w:r>
              <w:rPr>
                <w:webHidden/>
              </w:rPr>
              <w:fldChar w:fldCharType="end"/>
            </w:r>
          </w:hyperlink>
        </w:p>
        <w:p w14:paraId="262B9106" w14:textId="77777777" w:rsidR="00DD1E42" w:rsidRDefault="00DD1E42" w:rsidP="00342EC8">
          <w:pPr>
            <w:pStyle w:val="Sommario2"/>
          </w:pPr>
          <w:hyperlink w:anchor="_Toc495648772" w:history="1">
            <w:r w:rsidRPr="004252A1">
              <w:rPr>
                <w:rStyle w:val="Collegamentoipertestuale"/>
              </w:rPr>
              <w:t>1.2.</w:t>
            </w:r>
            <w:r>
              <w:tab/>
            </w:r>
            <w:r w:rsidRPr="004252A1">
              <w:rPr>
                <w:rStyle w:val="Collegamentoipertestuale"/>
              </w:rPr>
              <w:t>Asdfsdfsdfggg</w:t>
            </w:r>
            <w:r>
              <w:rPr>
                <w:webHidden/>
              </w:rPr>
              <w:tab/>
            </w:r>
            <w:r>
              <w:rPr>
                <w:webHidden/>
              </w:rPr>
              <w:fldChar w:fldCharType="begin"/>
            </w:r>
            <w:r>
              <w:rPr>
                <w:webHidden/>
              </w:rPr>
              <w:instrText xml:space="preserve"> PAGEREF _Toc495648772 \h </w:instrText>
            </w:r>
            <w:r>
              <w:rPr>
                <w:webHidden/>
              </w:rPr>
            </w:r>
            <w:r>
              <w:rPr>
                <w:webHidden/>
              </w:rPr>
              <w:fldChar w:fldCharType="separate"/>
            </w:r>
            <w:r>
              <w:rPr>
                <w:webHidden/>
              </w:rPr>
              <w:t>2</w:t>
            </w:r>
            <w:r>
              <w:rPr>
                <w:webHidden/>
              </w:rPr>
              <w:fldChar w:fldCharType="end"/>
            </w:r>
          </w:hyperlink>
        </w:p>
        <w:p w14:paraId="25518D28" w14:textId="2CD18CDE" w:rsidR="00663448" w:rsidRDefault="00DD1E42" w:rsidP="00663448">
          <w:r>
            <w:rPr>
              <w:b/>
              <w:bCs/>
            </w:rPr>
            <w:fldChar w:fldCharType="end"/>
          </w:r>
        </w:p>
      </w:sdtContent>
    </w:sdt>
    <w:p w14:paraId="4D4ED4FA" w14:textId="77777777" w:rsidR="00663448" w:rsidRDefault="00663448" w:rsidP="00CC2880"/>
    <w:p w14:paraId="49417C56" w14:textId="77777777" w:rsidR="00663448" w:rsidRDefault="00663448" w:rsidP="00CC2880">
      <w:pPr>
        <w:sectPr w:rsidR="00663448"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79741922" w:name="ctxt"/>
    <w:bookmarkEnd w:id="79741922"/>
    <w:p>
      <w:pPr>
        <w:widowControl w:val="on"/>
        <w:pBdr/>
        <w:spacing w:before="75" w:after="75" w:line="240" w:lineRule="auto"/>
        <w:ind w:left="75" w:right="75"/>
        <w:jc w:val="left"/>
      </w:pPr>
    </w:p>
    <w:p>
      <w:pPr>
        <w:pStyle w:val="Titolo1"/>
      </w:pPr>
      <w:r>
        <w:rPr/>
        <w:t xml:space="preserve">Technische Angaben</w:t>
      </w:r>
    </w:p>
    <w:p>
      <w:pPr>
        <w:widowControl w:val="on"/>
        <w:pBdr/>
        <w:spacing w:before="0" w:after="0" w:line="240" w:lineRule="auto"/>
        <w:ind w:left="0" w:right="0"/>
        <w:jc w:val="left"/>
      </w:pPr>
    </w:p>
    <w:p>
      <w:pPr>
        <w:pStyle w:val="Titolo2"/>
      </w:pPr>
      <w:r>
        <w:rPr/>
        <w:t xml:space="preserve">Allgemeine Beschreibung des Motors</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- 4-Takt Diesel-Reihenmotor; - Flüssigkeitskühlung;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- 4 Ventile pro Zylinder mit hydraulischen Stösseln;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Turbokompressor mit Wastgate-Ventil;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Common-Rail-Direkteinspritzung.</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Technische Daten des Motors (Grundversion)</w:t>
      </w:r>
    </w:p>
    <w:p>
      <w:pPr>
        <w:widowControl w:val="on"/>
        <w:pBdr/>
        <w:spacing w:before="0" w:after="0" w:line="262" w:lineRule="auto"/>
        <w:ind w:left="0" w:right="0"/>
        <w:jc w:val="left"/>
      </w:pPr>
      <w:r>
        <w:rPr>
          <w:b/>
          <w:bCs/>
          <w:color w:val="00274C"/>
          <w:sz w:val="20"/>
          <w:szCs w:val="20"/>
          <w:u w:val="none"/>
        </w:rPr>
        <w:t xml:space="preserve">Tab. 2.1</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left"/>
              <w:textAlignment w:val="center"/>
            </w:pP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TECHNISCHE MERKMALE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left"/>
              <w:textAlignment w:val="center"/>
            </w:pP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MASSEINHEIT</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r>
              <w:rPr>
                <w:position w:val="-80"/>
              </w:rPr>
              <w:drawing>
                <wp:inline distT="0" distB="0" distL="0" distR="0">
                  <wp:extent cx="1440000" cy="1080000"/>
                  <wp:effectExtent b="0" l="0" r="0" t="0"/>
                  <wp:docPr id="61130774" name="name976469bd53aa88c7c" descr="CAP_2_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01.png"/>
                          <pic:cNvPicPr/>
                        </pic:nvPicPr>
                        <pic:blipFill>
                          <a:blip r:embed="rId590469bd53aa88c75" cstate="print"/>
                          <a:stretch>
                            <a:fillRect/>
                          </a:stretch>
                        </pic:blipFill>
                        <pic:spPr>
                          <a:xfrm>
                            <a:off x="0" y="0"/>
                            <a:ext cx="1440000" cy="10800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r>
              <w:rPr>
                <w:position w:val="-80"/>
              </w:rPr>
              <w:drawing>
                <wp:inline distT="0" distB="0" distL="0" distR="0">
                  <wp:extent cx="1440000" cy="1080000"/>
                  <wp:effectExtent b="0" l="0" r="0" t="0"/>
                  <wp:docPr id="30490888" name="name121569bd53aa90b8e" descr="CAP_2_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02.png"/>
                          <pic:cNvPicPr/>
                        </pic:nvPicPr>
                        <pic:blipFill>
                          <a:blip r:embed="rId650869bd53aa90b88" cstate="print"/>
                          <a:stretch>
                            <a:fillRect/>
                          </a:stretch>
                        </pic:blipFill>
                        <pic:spPr>
                          <a:xfrm>
                            <a:off x="0" y="0"/>
                            <a:ext cx="1440000" cy="1080000"/>
                          </a:xfrm>
                          <a:prstGeom prst="rect">
                            <a:avLst/>
                          </a:prstGeom>
                          <a:ln w="0">
                            <a:noFill/>
                          </a:ln>
                        </pic:spPr>
                      </pic:pic>
                    </a:graphicData>
                  </a:graphic>
                </wp:inline>
              </w:drawing>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MOTORMODELL</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KDI 1903 TCR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KDI 2504 TCR</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ZYLINDER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BOHRUNG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88</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HUB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102</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HUBRAUM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1861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2482</w:t>
            </w:r>
          </w:p>
        </w:tc>
      </w:tr>
      <w:tr>
        <w:trPr>
          <w:trHeight w:val="0" w:hRule="atLeast"/>
        </w:trPr>
        <w:tc>
          <w:tcPr>
            <w:tcW w:w="0" w:type="auto"/>
            <w:gridSpan w:val="2"/>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MAXIMALE NEIGUNG WÄHREND DES BETRIEBS (auch kombiniert)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α</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 max. 30 Minuten</w:t>
            </w:r>
          </w:p>
        </w:tc>
      </w:tr>
      <w:tr>
        <w:trPr>
          <w:trHeight w:val="0" w:hRule="atLeast"/>
        </w:trPr>
        <w:tc>
          <w:tcPr>
            <w:gridSpan w:val="2"/>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α</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35° max.1 Minute</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ÖLMENGE (Füllstand MAX.) mit installiertem Ölfilter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Standard-Ausführung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11.5</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mit einer Vorrichtung zum Massenausgleich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TROCKENGEWICHT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267</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Abmessungen der motoren (mm - Grundversion)</w:t>
      </w:r>
    </w:p>
    <w:p>
      <w:pPr>
        <w:widowControl w:val="on"/>
        <w:pBdr/>
        <w:spacing w:before="225" w:after="225" w:line="262" w:lineRule="auto"/>
        <w:ind w:left="0" w:right="0"/>
        <w:jc w:val="left"/>
      </w:pPr>
      <w:r>
        <w:drawing>
          <wp:inline distT="0" distB="0" distL="0" distR="0">
            <wp:extent cx="5544000" cy="4161600"/>
            <wp:effectExtent b="0" l="0" r="0" t="0"/>
            <wp:docPr id="94295513" name="name152669bd53ab1746b" descr="Cap_2_04a_04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04a_04b.png"/>
                    <pic:cNvPicPr/>
                  </pic:nvPicPr>
                  <pic:blipFill>
                    <a:blip r:embed="rId962769bd53ab17465" cstate="print"/>
                    <a:stretch>
                      <a:fillRect/>
                    </a:stretch>
                  </pic:blipFill>
                  <pic:spPr>
                    <a:xfrm>
                      <a:off x="0" y="0"/>
                      <a:ext cx="5544000" cy="4161600"/>
                    </a:xfrm>
                    <a:prstGeom prst="rect">
                      <a:avLst/>
                    </a:prstGeom>
                    <a:ln w="0">
                      <a:noFill/>
                    </a:ln>
                  </pic:spPr>
                </pic:pic>
              </a:graphicData>
            </a:graphic>
          </wp:inline>
        </w:drawing>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Öl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32539071" name="name772369bd53ab1cbb8"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887069bd53ab1cbb3"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Wichtig</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28205"/>
        </w:numPr>
        <w:spacing w:before="0" w:after="0" w:line="240" w:lineRule="auto"/>
        <w:jc w:val="left"/>
        <w:rPr>
          <w:color w:val="00274C"/>
          <w:sz w:val="20"/>
          <w:szCs w:val="20"/>
        </w:rPr>
      </w:pPr>
      <w:r>
        <w:rPr>
          <w:color w:val="00274C"/>
          <w:sz w:val="20"/>
          <w:szCs w:val="20"/>
          <w:u w:val="none"/>
        </w:rPr>
        <w:t xml:space="preserve">Wenn der Motor mit einer unzureichenden Ölmenge in Betrieb genommen wird, kann er Schaden erleiden.</w:t>
      </w:r>
    </w:p>
    <w:p>
      <w:pPr>
        <w:numPr>
          <w:ilvl w:val="0"/>
          <w:numId w:val="28205"/>
        </w:numPr>
        <w:spacing w:before="0" w:after="0" w:line="240" w:lineRule="auto"/>
        <w:jc w:val="left"/>
        <w:rPr>
          <w:color w:val="00274C"/>
          <w:sz w:val="20"/>
          <w:szCs w:val="20"/>
        </w:rPr>
      </w:pPr>
      <w:r>
        <w:rPr>
          <w:color w:val="00274C"/>
          <w:sz w:val="20"/>
          <w:szCs w:val="20"/>
          <w:u w:val="none"/>
        </w:rPr>
        <w:t xml:space="preserve">Den Höchststand niemals überschreiten, denn seine Verbrennung kann zu einem plötzlichen Anstieg der Motordrehzahl führen.</w:t>
      </w:r>
    </w:p>
    <w:p>
      <w:pPr>
        <w:numPr>
          <w:ilvl w:val="0"/>
          <w:numId w:val="28205"/>
        </w:numPr>
        <w:spacing w:before="0" w:after="0" w:line="240" w:lineRule="auto"/>
        <w:jc w:val="left"/>
        <w:rPr>
          <w:color w:val="00274C"/>
          <w:sz w:val="20"/>
          <w:szCs w:val="20"/>
        </w:rPr>
      </w:pPr>
      <w:r>
        <w:rPr>
          <w:color w:val="00274C"/>
          <w:sz w:val="20"/>
          <w:szCs w:val="20"/>
          <w:u w:val="none"/>
        </w:rPr>
        <w:t xml:space="preserve">Ausschließlich das vorgeschriebene Öl verwenden, um angemessen Schutz, Leistung und Lebensdauer des Motors gewährleisten zu können.</w:t>
      </w:r>
    </w:p>
    <w:p>
      <w:pPr>
        <w:numPr>
          <w:ilvl w:val="0"/>
          <w:numId w:val="28205"/>
        </w:numPr>
        <w:spacing w:before="0" w:after="0" w:line="240" w:lineRule="auto"/>
        <w:jc w:val="left"/>
        <w:rPr>
          <w:color w:val="00274C"/>
          <w:sz w:val="20"/>
          <w:szCs w:val="20"/>
        </w:rPr>
      </w:pPr>
      <w:r>
        <w:rPr>
          <w:color w:val="00274C"/>
          <w:sz w:val="20"/>
          <w:szCs w:val="20"/>
          <w:u w:val="none"/>
        </w:rPr>
        <w:t xml:space="preserve">Wenn Öl einer minderwertigeren Qualität als das vorgeschriebene verwendet wird, kann die Lebensdauer des Motors deutlich beeinträchtigt werden.</w:t>
      </w:r>
    </w:p>
    <w:p>
      <w:pPr>
        <w:numPr>
          <w:ilvl w:val="0"/>
          <w:numId w:val="28205"/>
        </w:numPr>
        <w:spacing w:before="0" w:after="0" w:line="240" w:lineRule="auto"/>
        <w:jc w:val="left"/>
        <w:rPr>
          <w:color w:val="00274C"/>
          <w:sz w:val="20"/>
          <w:szCs w:val="20"/>
        </w:rPr>
      </w:pPr>
      <w:r>
        <w:rPr>
          <w:color w:val="00274C"/>
          <w:sz w:val="20"/>
          <w:szCs w:val="20"/>
          <w:u w:val="none"/>
        </w:rPr>
        <w:t xml:space="preserve">Die Viskosität des Öls muss für die Umgebungstemperatur, in der der Motor betrieben wird, geeignet sein.</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87290790" name="name579869bd53ab251b8"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912669bd53ab251b1"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Gefahr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28205"/>
        </w:numPr>
        <w:spacing w:before="0" w:after="0" w:line="240" w:lineRule="auto"/>
        <w:jc w:val="left"/>
        <w:rPr>
          <w:color w:val="00274C"/>
          <w:sz w:val="20"/>
          <w:szCs w:val="20"/>
        </w:rPr>
      </w:pPr>
      <w:r>
        <w:rPr>
          <w:color w:val="00274C"/>
          <w:sz w:val="20"/>
          <w:szCs w:val="20"/>
          <w:u w:val="none"/>
        </w:rPr>
        <w:t xml:space="preserve">Häufiger Kontakt der Haut mit altem Motoröl kann Hautkrebs verursachen.</w:t>
      </w:r>
    </w:p>
    <w:p>
      <w:pPr>
        <w:numPr>
          <w:ilvl w:val="0"/>
          <w:numId w:val="28205"/>
        </w:numPr>
        <w:spacing w:before="0" w:after="0" w:line="240" w:lineRule="auto"/>
        <w:jc w:val="left"/>
        <w:rPr>
          <w:color w:val="00274C"/>
          <w:sz w:val="20"/>
          <w:szCs w:val="20"/>
        </w:rPr>
      </w:pPr>
      <w:r>
        <w:rPr>
          <w:color w:val="00274C"/>
          <w:sz w:val="20"/>
          <w:szCs w:val="20"/>
          <w:u w:val="none"/>
        </w:rPr>
        <w:t xml:space="preserve">Kann ein Kontakt mit dem Öl nicht vermieden werden, so schnell wie möglich die Hände gründlich mit Wasser und Seife waschen.</w:t>
      </w:r>
    </w:p>
    <w:p>
      <w:pPr>
        <w:numPr>
          <w:ilvl w:val="0"/>
          <w:numId w:val="28205"/>
        </w:numPr>
        <w:spacing w:before="0" w:after="0" w:line="240" w:lineRule="auto"/>
        <w:jc w:val="left"/>
        <w:rPr>
          <w:color w:val="00274C"/>
          <w:sz w:val="20"/>
          <w:szCs w:val="20"/>
        </w:rPr>
      </w:pPr>
      <w:r>
        <w:rPr>
          <w:color w:val="00274C"/>
          <w:sz w:val="20"/>
          <w:szCs w:val="20"/>
          <w:u w:val="none"/>
        </w:rPr>
        <w:t xml:space="preserve">Für die Entsorgung des Altöls siehe </w:t>
      </w:r>
      <w:r>
        <w:rPr>
          <w:b/>
          <w:bCs/>
          <w:color w:val="00274C"/>
          <w:sz w:val="20"/>
          <w:szCs w:val="20"/>
          <w:u w:val="none"/>
        </w:rPr>
        <w:t xml:space="preserve">Abs. AUSSERBETRIEBNAHME UND VERSCHROTTUNG</w:t>
      </w: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br/>
        <w:t xml:space="preserve">2.4.1 SAE-Klassifizierung der Öle</w:t>
      </w:r>
    </w:p>
    <w:p>
      <w:pPr>
        <w:numPr>
          <w:ilvl w:val="0"/>
          <w:numId w:val="28205"/>
        </w:numPr>
        <w:spacing w:before="0" w:after="0" w:line="240" w:lineRule="auto"/>
        <w:jc w:val="left"/>
        <w:rPr>
          <w:color w:val="00274C"/>
          <w:sz w:val="20"/>
          <w:szCs w:val="20"/>
        </w:rPr>
      </w:pPr>
      <w:r>
        <w:rPr>
          <w:color w:val="00274C"/>
          <w:sz w:val="20"/>
          <w:szCs w:val="20"/>
          <w:u w:val="none"/>
        </w:rPr>
        <w:t xml:space="preserve">Hierbei werden die Öle auf der Grundlage ihrer Viskosität bewertet, andere qualitative. Eigenschaften werden nicht berücksichtigt.</w:t>
      </w:r>
    </w:p>
    <w:p>
      <w:pPr>
        <w:numPr>
          <w:ilvl w:val="0"/>
          <w:numId w:val="28205"/>
        </w:numPr>
        <w:spacing w:before="0" w:after="0" w:line="240" w:lineRule="auto"/>
        <w:jc w:val="left"/>
        <w:rPr>
          <w:color w:val="00274C"/>
          <w:sz w:val="20"/>
          <w:szCs w:val="20"/>
        </w:rPr>
      </w:pPr>
      <w:r>
        <w:rPr>
          <w:color w:val="00274C"/>
          <w:sz w:val="20"/>
          <w:szCs w:val="20"/>
          <w:u w:val="none"/>
        </w:rPr>
        <w:t xml:space="preserve">Der Code besteht aus zwei Zahlen mit einem dazwischen liegenden " </w:t>
      </w:r>
      <w:r>
        <w:rPr>
          <w:b/>
          <w:bCs/>
          <w:color w:val="00274C"/>
          <w:sz w:val="20"/>
          <w:szCs w:val="20"/>
          <w:u w:val="none"/>
        </w:rPr>
        <w:t xml:space="preserve">W</w:t>
      </w:r>
      <w:r>
        <w:rPr>
          <w:color w:val="00274C"/>
          <w:sz w:val="20"/>
          <w:szCs w:val="20"/>
          <w:u w:val="none"/>
        </w:rPr>
        <w:t xml:space="preserve"> ", wobei die erste Zahl den Wert für Bedingungen mit niedrigen Temperaturen festlegt, die zweite hingegen den Wert für Bedingungen mit hohen Temperaturen.</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0000"/>
          <w:sz w:val="20"/>
          <w:szCs w:val="20"/>
          <w:u w:val="none"/>
        </w:rPr>
        <w:t xml:space="preserve">Verwenden Sie die Ölviskosität basierend auf dem Lufttemperaturbereich, der im Zeitraum zwischen den Ölwechseln auftritt, wie in der folgenden Tabelle angegeben.</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0000"/>
          <w:sz w:val="20"/>
          <w:szCs w:val="20"/>
          <w:u w:val="none"/>
        </w:rPr>
        <w:t xml:space="preserve">Rehlko X-treme 10W-40 formula pro; X-treme 10W-40; X-treme 5W-40 Öle werden bevorzugt:</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Mar>
              <w:top w:w="150" w:type="dxa"/>
              <w:left w:w="150" w:type="dxa"/>
              <w:bottom w:w="150" w:type="dxa"/>
              <w:right w:w="150" w:type="dxa"/>
            </w:tcMar>
            <w:vAlign w:val="center"/>
          </w:tcPr>
          <w:p>
            <w:r>
              <w:rPr>
                <w:position w:val="-353"/>
              </w:rPr>
              <w:drawing>
                <wp:inline distT="0" distB="0" distL="0" distR="0">
                  <wp:extent cx="2844000" cy="4456800"/>
                  <wp:effectExtent b="0" l="0" r="0" t="0"/>
                  <wp:docPr id="41958063" name="name359569bd53ab2cd7d" descr="Rehlko_Xtreme%2520Conditions%252010w-40%2520Oil%2520-%2520EMEA%252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reme%2520Conditions%252010w-40%2520Oil%2520-%2520EMEA%2520-1.jpg"/>
                          <pic:cNvPicPr/>
                        </pic:nvPicPr>
                        <pic:blipFill>
                          <a:blip r:embed="rId222669bd53ab2cd76" cstate="print"/>
                          <a:stretch>
                            <a:fillRect/>
                          </a:stretch>
                        </pic:blipFill>
                        <pic:spPr>
                          <a:xfrm>
                            <a:off x="0" y="0"/>
                            <a:ext cx="2844000" cy="4456800"/>
                          </a:xfrm>
                          <a:prstGeom prst="rect">
                            <a:avLst/>
                          </a:prstGeom>
                          <a:ln w="0">
                            <a:noFill/>
                          </a:ln>
                        </pic:spPr>
                      </pic:pic>
                    </a:graphicData>
                  </a:graphic>
                </wp:inline>
              </w:drawing>
            </w:r>
          </w:p>
        </w:tc>
        <w:tc>
          <w:tcPr>
            <w:tcW w:w="0" w:type="auto"/>
            <w:tcMar>
              <w:top w:w="150" w:type="dxa"/>
              <w:left w:w="150" w:type="dxa"/>
              <w:bottom w:w="150" w:type="dxa"/>
              <w:right w:w="150" w:type="dxa"/>
            </w:tcMar>
            <w:vAlign w:val="center"/>
          </w:tcPr>
          <w:p>
            <w:r>
              <w:rPr>
                <w:position w:val="-353"/>
              </w:rPr>
              <w:drawing>
                <wp:inline distT="0" distB="0" distL="0" distR="0">
                  <wp:extent cx="2844000" cy="4456800"/>
                  <wp:effectExtent b="0" l="0" r="0" t="0"/>
                  <wp:docPr id="1113408" name="name908969bd53ab324a9" descr="Rehlko_Extreme%2520Conditions%25205W40%2520Oil%2520-%2520NA%2520-%252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Extreme%2520Conditions%25205W40%2520Oil%2520-%2520NA%2520-%25202.jpg"/>
                          <pic:cNvPicPr/>
                        </pic:nvPicPr>
                        <pic:blipFill>
                          <a:blip r:embed="rId839669bd53ab324a5" cstate="print"/>
                          <a:stretch>
                            <a:fillRect/>
                          </a:stretch>
                        </pic:blipFill>
                        <pic:spPr>
                          <a:xfrm>
                            <a:off x="0" y="0"/>
                            <a:ext cx="2844000" cy="4456800"/>
                          </a:xfrm>
                          <a:prstGeom prst="rect">
                            <a:avLst/>
                          </a:prstGeom>
                          <a:ln w="0">
                            <a:noFill/>
                          </a:ln>
                        </pic:spPr>
                      </pic:pic>
                    </a:graphicData>
                  </a:graphic>
                </wp:inline>
              </w:drawing>
            </w:r>
          </w:p>
        </w:tc>
        <w:tc>
          <w:tcPr>
            <w:tcW w:w="0" w:type="auto"/>
            <w:tcMar>
              <w:top w:w="150" w:type="dxa"/>
              <w:left w:w="150" w:type="dxa"/>
              <w:bottom w:w="150" w:type="dxa"/>
              <w:right w:w="150" w:type="dxa"/>
            </w:tcMar>
            <w:vAlign w:val="center"/>
          </w:tcPr>
          <w:p>
            <w:r>
              <w:rPr>
                <w:position w:val="-325"/>
              </w:rPr>
              <w:drawing>
                <wp:inline distT="0" distB="0" distL="0" distR="0">
                  <wp:extent cx="2865600" cy="4118400"/>
                  <wp:effectExtent b="0" l="0" r="0" t="0"/>
                  <wp:docPr id="6674759" name="name144969bd53ab37d76" descr="Rehlko_Xtreme%2520Conditions%252010w-40%2520Oil%2520-%2520INDIA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reme%2520Conditions%252010w-40%2520Oil%2520-%2520INDIA2.jpg"/>
                          <pic:cNvPicPr/>
                        </pic:nvPicPr>
                        <pic:blipFill>
                          <a:blip r:embed="rId625669bd53ab37d71" cstate="print"/>
                          <a:stretch>
                            <a:fillRect/>
                          </a:stretch>
                        </pic:blipFill>
                        <pic:spPr>
                          <a:xfrm>
                            <a:off x="0" y="0"/>
                            <a:ext cx="2865600" cy="4118400"/>
                          </a:xfrm>
                          <a:prstGeom prst="rect">
                            <a:avLst/>
                          </a:prstGeom>
                          <a:ln w="0">
                            <a:noFill/>
                          </a:ln>
                        </pic:spPr>
                      </pic:pic>
                    </a:graphicData>
                  </a:graphic>
                </wp:inline>
              </w:drawing>
            </w:r>
          </w:p>
        </w:tc>
      </w:tr>
    </w:tbl>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left"/>
      </w:pPr>
      <w:r>
        <w:rPr>
          <w:b/>
          <w:bCs/>
          <w:color w:val="000000"/>
          <w:sz w:val="20"/>
          <w:szCs w:val="20"/>
          <w:u w:val="none"/>
        </w:rPr>
        <w:t xml:space="preserve">Öle, die die folgenden Spezifikationen erfüllen, werden ebenfalls empfohlen.</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2.2</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5"/>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VORGESCHRIEBENES ÖL</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TCR STAGE-V</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(*1)</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(*2)</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TCR TIER IV FINAL</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TCR/D TIER III o NON CERTIFICATO</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(*3)</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MIT SPEZIFIKATIONEN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API</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CJ-4 Low S.A.P.S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CK-4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CJ-4 Low S.A.P.S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CK-4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CI-4 Plus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CI-4</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CH-4</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ACEA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E6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E6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E7</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VISKOSITÄT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SAE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10w-30 (-25°c ÷ +40°C) 10w-40 (-25°C ÷ +50°C)</w:t>
            </w:r>
            <w:r>
              <w:rPr>
                <w:color w:val="00274C"/>
                <w:position w:val="-2"/>
                <w:sz w:val="20"/>
                <w:szCs w:val="20"/>
                <w:u w:val="none"/>
                <w:shd w:val="clear" w:color="auto" w:fill="E1E2E0"/>
              </w:rPr>
              <w:br/>
              <w:br/>
              <w:t xml:space="preserve">5w-30 (-30°c ÷ +40°C)</w:t>
            </w:r>
            <w:r>
              <w:rPr>
                <w:color w:val="00274C"/>
                <w:position w:val="-2"/>
                <w:sz w:val="20"/>
                <w:szCs w:val="20"/>
                <w:u w:val="none"/>
                <w:shd w:val="clear" w:color="auto" w:fill="E1E2E0"/>
              </w:rPr>
              <w:br/>
              <w:br/>
              <w:t xml:space="preserve">5w-40 (-30°c ÷ +50°C)</w:t>
            </w:r>
            <w:r>
              <w:rPr>
                <w:color w:val="00274C"/>
                <w:position w:val="-2"/>
                <w:sz w:val="20"/>
                <w:szCs w:val="20"/>
                <w:u w:val="none"/>
                <w:shd w:val="clear" w:color="auto" w:fill="E1E2E0"/>
              </w:rPr>
              <w:br/>
              <w:br/>
              <w:t xml:space="preserve">0w-40 (-40°c ÷ +50°C)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10w-30 (-25°c ÷ +40°C) 10w-40 (-25°C ÷ +50°C)</w:t>
            </w:r>
            <w:r>
              <w:rPr>
                <w:color w:val="00274C"/>
                <w:position w:val="-2"/>
                <w:sz w:val="20"/>
                <w:szCs w:val="20"/>
                <w:u w:val="none"/>
                <w:shd w:val="clear" w:color="auto" w:fill="E1E2E0"/>
              </w:rPr>
              <w:br/>
              <w:br/>
              <w:t xml:space="preserve">5w-30 (-30°c ÷ +40°C)</w:t>
            </w:r>
            <w:r>
              <w:rPr>
                <w:color w:val="00274C"/>
                <w:position w:val="-2"/>
                <w:sz w:val="20"/>
                <w:szCs w:val="20"/>
                <w:u w:val="none"/>
                <w:shd w:val="clear" w:color="auto" w:fill="E1E2E0"/>
              </w:rPr>
              <w:br/>
              <w:br/>
              <w:t xml:space="preserve">5w-40 (-30°c ÷ +50°C)</w:t>
            </w:r>
            <w:r>
              <w:rPr>
                <w:color w:val="00274C"/>
                <w:position w:val="-2"/>
                <w:sz w:val="20"/>
                <w:szCs w:val="20"/>
                <w:u w:val="none"/>
                <w:shd w:val="clear" w:color="auto" w:fill="E1E2E0"/>
              </w:rPr>
              <w:br/>
              <w:br/>
              <w:t xml:space="preserve">0w-40 (-40°c ÷ +50°C)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10w-30 (-25°c ÷ +40°C) 10w-40 (-25°C ÷ +50°C)</w:t>
            </w:r>
            <w:r>
              <w:rPr>
                <w:color w:val="00274C"/>
                <w:position w:val="-2"/>
                <w:sz w:val="20"/>
                <w:szCs w:val="20"/>
                <w:u w:val="none"/>
                <w:shd w:val="clear" w:color="auto" w:fill="E1E2E0"/>
              </w:rPr>
              <w:br/>
              <w:br/>
              <w:t xml:space="preserve">5w-30 (-30°c ÷ +40°C)</w:t>
            </w:r>
            <w:r>
              <w:rPr>
                <w:color w:val="00274C"/>
                <w:position w:val="-2"/>
                <w:sz w:val="20"/>
                <w:szCs w:val="20"/>
                <w:u w:val="none"/>
                <w:shd w:val="clear" w:color="auto" w:fill="E1E2E0"/>
              </w:rPr>
              <w:br/>
              <w:br/>
              <w:t xml:space="preserve">5w-40 (-30°c ÷ +50°C)</w:t>
            </w:r>
            <w:r>
              <w:rPr>
                <w:color w:val="00274C"/>
                <w:position w:val="-2"/>
                <w:sz w:val="20"/>
                <w:szCs w:val="20"/>
                <w:u w:val="none"/>
                <w:shd w:val="clear" w:color="auto" w:fill="E1E2E0"/>
              </w:rPr>
              <w:br/>
              <w:br/>
              <w:t xml:space="preserve">0w-40 (-40°c ÷ +50°C)</w:t>
            </w:r>
          </w:p>
        </w:tc>
      </w:tr>
    </w:tbl>
    <w:p>
      <w:pPr>
        <w:widowControl w:val="on"/>
        <w:pBdr/>
        <w:spacing w:before="0" w:after="0" w:line="262" w:lineRule="auto"/>
        <w:ind w:left="0" w:right="0"/>
        <w:jc w:val="left"/>
      </w:pPr>
      <w:r>
        <w:rPr>
          <w:color w:val="00274C"/>
          <w:sz w:val="20"/>
          <w:szCs w:val="20"/>
          <w:u w:val="none"/>
        </w:rPr>
        <w:t xml:space="preserve"> </w:t>
      </w:r>
    </w:p>
    <w:p>
      <w:pPr>
        <w:numPr>
          <w:ilvl w:val="0"/>
          <w:numId w:val="28205"/>
        </w:numPr>
        <w:spacing w:before="0" w:after="0" w:line="240" w:lineRule="auto"/>
        <w:jc w:val="left"/>
        <w:rPr>
          <w:color w:val="00274C"/>
          <w:sz w:val="20"/>
          <w:szCs w:val="20"/>
        </w:rPr>
      </w:pPr>
      <w:r>
        <w:rPr>
          <w:color w:val="00274C"/>
          <w:sz w:val="20"/>
          <w:szCs w:val="20"/>
          <w:u w:val="none"/>
        </w:rPr>
        <w:t xml:space="preserve">Die Low-SAPS-Technologie (Öl mit niedrigem Gehalt an Sulfatasche, Phosphor und Schwefel) sorgt dafür, dass die Katalysatoren in gutem Zustand bleiben. Bei Vorhandensein von Sulfatasche, Phosphor und Schwefel verstopft der Katalysator mit der Zeit und arbeitet dann nicht mehr ordnungsgemäß.</w:t>
      </w:r>
    </w:p>
    <w:p>
      <w:pPr>
        <w:numPr>
          <w:ilvl w:val="0"/>
          <w:numId w:val="28205"/>
        </w:numPr>
        <w:spacing w:before="0" w:after="0" w:line="240" w:lineRule="auto"/>
        <w:jc w:val="left"/>
        <w:rPr>
          <w:color w:val="00274C"/>
          <w:sz w:val="20"/>
          <w:szCs w:val="20"/>
        </w:rPr>
      </w:pPr>
      <w:r>
        <w:rPr>
          <w:color w:val="00274C"/>
          <w:sz w:val="20"/>
          <w:szCs w:val="20"/>
          <w:u w:val="none"/>
        </w:rPr>
        <w:t xml:space="preserve">Bei Mid-SAPS-Öl ist der Gehalt an Sulfatasche der wie bei API CJ-4 ≤ 1,0%, laut ACEA-Normung werden diese Öle aber als Mid-SAPS angesehen.</w:t>
      </w:r>
    </w:p>
    <w:p>
      <w:pPr>
        <w:numPr>
          <w:ilvl w:val="0"/>
          <w:numId w:val="28205"/>
        </w:numPr>
        <w:spacing w:before="0" w:after="0" w:line="240" w:lineRule="auto"/>
        <w:jc w:val="left"/>
        <w:rPr>
          <w:color w:val="00274C"/>
          <w:sz w:val="20"/>
          <w:szCs w:val="20"/>
        </w:rPr>
      </w:pPr>
      <w:r>
        <w:rPr>
          <w:color w:val="00274C"/>
          <w:sz w:val="20"/>
          <w:szCs w:val="20"/>
          <w:u w:val="none"/>
        </w:rPr>
        <w:t xml:space="preserve">Für den ordnungsgemäßen Betrieb und gute Schmierung ist die Filterung des Öls sehr wichtig. Die Filter regelmäßig wie in dieser Anleitung beschrieben reinigen.</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(*1)</w:t>
      </w:r>
      <w:r>
        <w:rPr>
          <w:b/>
          <w:bCs/>
          <w:color w:val="00274C"/>
          <w:sz w:val="20"/>
          <w:szCs w:val="20"/>
          <w:u w:val="none"/>
        </w:rPr>
        <w:t xml:space="preserve"> -</w:t>
      </w:r>
      <w:r>
        <w:rPr>
          <w:b/>
          <w:bCs/>
          <w:color w:val="00274C"/>
          <w:sz w:val="20"/>
          <w:szCs w:val="20"/>
          <w:u w:val="none"/>
        </w:rPr>
        <w:t xml:space="preserve"> HINWEIS</w:t>
      </w:r>
      <w:r>
        <w:rPr>
          <w:color w:val="00274C"/>
          <w:sz w:val="20"/>
          <w:szCs w:val="20"/>
          <w:u w:val="none"/>
        </w:rPr>
        <w:t xml:space="preserve"> : KEINEN Kraftstoff mit Schwefelgehalt über 15 ppm verwenden.</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 - Bei allen Motoren, die der Emissionsnorm Stage-V entsprechen (Motoren, die mit DPF ausgestattet sind), muss das zu verwendende Öl obligatorisch der Spezifikation API CJ-4 Low S.A.P.S oder ACEA E6 Low S.A.P.S. entsprechen.</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(*3) -</w:t>
      </w:r>
      <w:r>
        <w:rPr>
          <w:b/>
          <w:bCs/>
          <w:color w:val="00274C"/>
          <w:sz w:val="20"/>
          <w:szCs w:val="20"/>
          <w:u w:val="none"/>
        </w:rPr>
        <w:t xml:space="preserve"> HINWEIS</w:t>
      </w:r>
      <w:r>
        <w:rPr>
          <w:color w:val="00274C"/>
          <w:sz w:val="20"/>
          <w:szCs w:val="20"/>
          <w:u w:val="none"/>
        </w:rPr>
        <w:t xml:space="preserve"> : KEINEN Kraftstoff mit Schwefelgehalt über 500 ppm verwenden.</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(*3) -</w:t>
      </w:r>
      <w:r>
        <w:rPr>
          <w:b/>
          <w:bCs/>
          <w:color w:val="00274C"/>
          <w:sz w:val="20"/>
          <w:szCs w:val="20"/>
          <w:u w:val="none"/>
        </w:rPr>
        <w:t xml:space="preserve"> HINWEIS</w:t>
      </w:r>
      <w:r>
        <w:rPr>
          <w:color w:val="00274C"/>
          <w:sz w:val="20"/>
          <w:szCs w:val="20"/>
          <w:u w:val="none"/>
        </w:rPr>
        <w:t xml:space="preserve"> : Low-SAPS-Öle mit weniger als 1 % Sulfatasche dürfen bei Kraftstoffen mit Schwefelgehalt über 50ppm nicht verwendet werden.</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Kraftstoff</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84428770" name="name593169bd53ab47447"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604469bd53ab47442"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Wichtig</w:t>
            </w:r>
          </w:p>
          <w:p>
            <w:pPr>
              <w:numPr>
                <w:ilvl w:val="0"/>
                <w:numId w:val="28205"/>
              </w:numPr>
              <w:spacing w:before="0" w:after="0" w:line="262" w:lineRule="auto"/>
              <w:jc w:val="left"/>
              <w:rPr>
                <w:color w:val="00274C"/>
                <w:sz w:val="20"/>
                <w:szCs w:val="20"/>
              </w:rPr>
            </w:pPr>
            <w:r>
              <w:rPr>
                <w:color w:val="00274C"/>
                <w:position w:val="-2"/>
                <w:sz w:val="20"/>
                <w:szCs w:val="20"/>
                <w:u w:val="none"/>
              </w:rPr>
              <w:t xml:space="preserve">Bei Verwendung anderer Arten von Kraftstoff kann der Motor beschädigt werden. Keinen schlechten Dieselkraftstoff oder Diesel-Wasser-Gemische benutzen, da dies zu schwerwiegenden Störungen am Motor führt.</w:t>
            </w:r>
          </w:p>
          <w:p>
            <w:pPr>
              <w:numPr>
                <w:ilvl w:val="0"/>
                <w:numId w:val="28205"/>
              </w:numPr>
              <w:spacing w:before="0" w:after="0" w:line="262" w:lineRule="auto"/>
              <w:jc w:val="left"/>
              <w:rPr>
                <w:color w:val="00274C"/>
                <w:sz w:val="20"/>
                <w:szCs w:val="20"/>
              </w:rPr>
            </w:pPr>
            <w:r>
              <w:rPr>
                <w:color w:val="00274C"/>
                <w:position w:val="-2"/>
                <w:sz w:val="20"/>
                <w:szCs w:val="20"/>
                <w:u w:val="none"/>
              </w:rPr>
              <w:t xml:space="preserve">Bei Störungen, die durch die Verwendung anderer als der vorgeschriebenen Kraftstoffe entstehen, erlischt die Garantie.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40"/>
              </w:rPr>
              <w:drawing>
                <wp:inline distT="0" distB="0" distL="0" distR="0">
                  <wp:extent cx="324000" cy="324000"/>
                  <wp:effectExtent b="0" l="0" r="0" t="0"/>
                  <wp:docPr id="20107354" name="name801769bd53ab4f433" descr="Avvertenz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vvertenza.png"/>
                          <pic:cNvPicPr/>
                        </pic:nvPicPr>
                        <pic:blipFill>
                          <a:blip r:embed="rId964969bd53ab4f42e"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Warnung</w:t>
            </w:r>
          </w:p>
          <w:p>
            <w:pPr>
              <w:numPr>
                <w:ilvl w:val="0"/>
                <w:numId w:val="28205"/>
              </w:numPr>
              <w:spacing w:before="0" w:after="0" w:line="262" w:lineRule="auto"/>
              <w:jc w:val="left"/>
              <w:rPr>
                <w:color w:val="00274C"/>
                <w:sz w:val="20"/>
                <w:szCs w:val="20"/>
              </w:rPr>
            </w:pPr>
            <w:r>
              <w:rPr>
                <w:color w:val="00274C"/>
                <w:position w:val="0"/>
                <w:sz w:val="20"/>
                <w:szCs w:val="20"/>
                <w:u w:val="none"/>
              </w:rPr>
              <w:t xml:space="preserve">Sauberer Kraftstoff verhindert, dass die Kraftstoffinjektoren verstopfen. Beim Nachfüllen sofort verschütteten Kraftstoff beseitigen. </w:t>
            </w:r>
          </w:p>
          <w:p>
            <w:pPr>
              <w:numPr>
                <w:ilvl w:val="0"/>
                <w:numId w:val="28205"/>
              </w:numPr>
              <w:spacing w:before="0" w:after="0" w:line="262" w:lineRule="auto"/>
              <w:jc w:val="left"/>
              <w:rPr>
                <w:color w:val="00274C"/>
                <w:sz w:val="20"/>
                <w:szCs w:val="20"/>
              </w:rPr>
            </w:pPr>
            <w:r>
              <w:rPr>
                <w:color w:val="00274C"/>
                <w:position w:val="0"/>
                <w:sz w:val="20"/>
                <w:szCs w:val="20"/>
                <w:u w:val="none"/>
              </w:rPr>
              <w:t xml:space="preserve">Diesel niemals in verzinkten Behältern aufbewahren. Der Diesel reagiert chemisch mit der Verzinkungsschicht, sodass diese abblättert und dadurch die Filter schnell verstopfen oder Defekte an der Kraftstoffpumpe und/oder dem Injektor auftreten.</w:t>
            </w:r>
          </w:p>
          <w:p>
            <w:pPr>
              <w:numPr>
                <w:ilvl w:val="0"/>
                <w:numId w:val="28205"/>
              </w:numPr>
              <w:spacing w:before="0" w:after="0" w:line="262" w:lineRule="auto"/>
              <w:jc w:val="left"/>
              <w:rPr>
                <w:color w:val="00274C"/>
                <w:sz w:val="20"/>
                <w:szCs w:val="20"/>
              </w:rPr>
            </w:pPr>
            <w:r>
              <w:rPr>
                <w:color w:val="00274C"/>
                <w:position w:val="0"/>
                <w:sz w:val="20"/>
                <w:szCs w:val="20"/>
                <w:u w:val="none"/>
              </w:rPr>
              <w:t xml:space="preserve">Jeder Fehler, der durch die Verwendung eines anderen Kraftstoffs als  </w:t>
            </w:r>
            <w:r>
              <w:rPr>
                <w:b/>
                <w:bCs/>
                <w:color w:val="00274C"/>
                <w:position w:val="0"/>
                <w:sz w:val="20"/>
                <w:szCs w:val="20"/>
                <w:u w:val="none"/>
              </w:rPr>
              <w:t xml:space="preserve">Tab. 2.3, 2.4</w:t>
            </w:r>
            <w:r>
              <w:rPr>
                <w:color w:val="00274C"/>
                <w:position w:val="0"/>
                <w:sz w:val="20"/>
                <w:szCs w:val="20"/>
                <w:u w:val="none"/>
              </w:rPr>
              <w:t xml:space="preserve">  fallen nicht unter die Garantie</w:t>
            </w:r>
          </w:p>
        </w:tc>
      </w:tr>
      <w:tr>
        <w:trPr>
          <w:trHeight w:val="0" w:hRule="atLeast"/>
        </w:trPr>
        <w:tc>
          <w:tcPr>
            <w:tcW w:w="0" w:type="auto"/>
            <w:gridSpan w:val="3"/>
            <w:tcMar>
              <w:top w:w="150" w:type="dxa"/>
              <w:left w:w="150" w:type="dxa"/>
              <w:bottom w:w="150" w:type="dxa"/>
              <w:right w:w="150" w:type="dxa"/>
            </w:tcMar>
            <w:vAlign w:val="center"/>
          </w:tcPr>
          <w:p/>
          <w:p/>
          <w:p>
            <w:pPr>
              <w:widowControl w:val="on"/>
              <w:pBdr/>
              <w:spacing w:before="0" w:after="0" w:line="262" w:lineRule="auto"/>
              <w:ind w:left="0" w:right="0"/>
              <w:jc w:val="left"/>
              <w:textAlignment w:val="center"/>
            </w:pPr>
            <w:r>
              <w:rPr>
                <w:b/>
                <w:bCs/>
                <w:color w:val="00274C"/>
                <w:position w:val="-2"/>
                <w:sz w:val="20"/>
                <w:szCs w:val="20"/>
                <w:u w:val="none"/>
              </w:rPr>
              <w:t xml:space="preserve">Cetanzahl von mindestens 40. Eine Cetanzahl größer als 47 wird bevorzugt, insbesondere bei Temperaturen unter –20 °C (–4 °F) oder Höhen über 1675 m (5500 ft.).</w:t>
            </w:r>
          </w:p>
          <w:p/>
          <w:p/>
          <w:p>
            <w:pPr>
              <w:widowControl w:val="on"/>
              <w:pBdr/>
              <w:spacing w:before="0" w:after="0" w:line="262" w:lineRule="auto"/>
              <w:ind w:left="0" w:right="0"/>
              <w:jc w:val="left"/>
              <w:textAlignment w:val="center"/>
            </w:pPr>
            <w:r>
              <w:rPr>
                <w:b/>
                <w:bCs/>
                <w:color w:val="00274C"/>
                <w:position w:val="-2"/>
                <w:sz w:val="20"/>
                <w:szCs w:val="20"/>
                <w:u w:val="none"/>
              </w:rPr>
              <w:t xml:space="preserve">Hochregulierte Motoren (EU, USA, Kanada, Japan, China, Indien)</w:t>
            </w:r>
          </w:p>
          <w:p>
            <w:pPr>
              <w:numPr>
                <w:ilvl w:val="0"/>
                <w:numId w:val="28205"/>
              </w:numPr>
              <w:spacing w:before="0" w:after="0" w:line="262" w:lineRule="auto"/>
              <w:jc w:val="left"/>
              <w:rPr>
                <w:color w:val="00274C"/>
                <w:sz w:val="20"/>
                <w:szCs w:val="20"/>
              </w:rPr>
            </w:pPr>
            <w:r>
              <w:rPr>
                <w:color w:val="00274C"/>
                <w:position w:val="-2"/>
                <w:sz w:val="20"/>
                <w:szCs w:val="20"/>
                <w:u w:val="none"/>
              </w:rPr>
              <w:t xml:space="preserve">EU EN 590</w:t>
            </w:r>
          </w:p>
          <w:p>
            <w:pPr>
              <w:numPr>
                <w:ilvl w:val="0"/>
                <w:numId w:val="28205"/>
              </w:numPr>
              <w:spacing w:before="0" w:after="0" w:line="262" w:lineRule="auto"/>
              <w:jc w:val="left"/>
              <w:rPr>
                <w:color w:val="00274C"/>
                <w:sz w:val="20"/>
                <w:szCs w:val="20"/>
              </w:rPr>
            </w:pPr>
            <w:r>
              <w:rPr>
                <w:color w:val="00274C"/>
                <w:position w:val="-2"/>
                <w:sz w:val="20"/>
                <w:szCs w:val="20"/>
                <w:u w:val="none"/>
              </w:rPr>
              <w:t xml:space="preserve">Nordamerika ASTM D975 Nr. 2-D S15; Nr. 1-D S15</w:t>
            </w:r>
          </w:p>
          <w:p>
            <w:pPr>
              <w:numPr>
                <w:ilvl w:val="0"/>
                <w:numId w:val="28205"/>
              </w:numPr>
              <w:spacing w:before="0" w:after="0" w:line="262" w:lineRule="auto"/>
              <w:jc w:val="left"/>
              <w:rPr>
                <w:color w:val="00274C"/>
                <w:sz w:val="20"/>
                <w:szCs w:val="20"/>
              </w:rPr>
            </w:pPr>
            <w:r>
              <w:rPr>
                <w:color w:val="00274C"/>
                <w:position w:val="-2"/>
                <w:sz w:val="20"/>
                <w:szCs w:val="20"/>
                <w:u w:val="none"/>
              </w:rPr>
              <w:t xml:space="preserve">Japan JIS K 2204 Nr. 1; Nr. 2</w:t>
            </w:r>
          </w:p>
          <w:p>
            <w:pPr>
              <w:numPr>
                <w:ilvl w:val="0"/>
                <w:numId w:val="28205"/>
              </w:numPr>
              <w:spacing w:before="0" w:after="0" w:line="262" w:lineRule="auto"/>
              <w:jc w:val="left"/>
              <w:rPr>
                <w:color w:val="00274C"/>
                <w:sz w:val="20"/>
                <w:szCs w:val="20"/>
              </w:rPr>
            </w:pPr>
            <w:r>
              <w:rPr>
                <w:color w:val="00274C"/>
                <w:position w:val="-2"/>
                <w:sz w:val="20"/>
                <w:szCs w:val="20"/>
                <w:u w:val="none"/>
              </w:rPr>
              <w:t xml:space="preserve">Indien BS-V ULSD; BS-VI ULSD</w:t>
            </w:r>
          </w:p>
          <w:p>
            <w:pPr>
              <w:numPr>
                <w:ilvl w:val="0"/>
                <w:numId w:val="28205"/>
              </w:numPr>
              <w:spacing w:before="0" w:after="0" w:line="262" w:lineRule="auto"/>
              <w:jc w:val="left"/>
              <w:rPr>
                <w:color w:val="00274C"/>
                <w:sz w:val="20"/>
                <w:szCs w:val="20"/>
              </w:rPr>
            </w:pPr>
            <w:r>
              <w:rPr>
                <w:color w:val="00274C"/>
                <w:position w:val="-2"/>
                <w:sz w:val="20"/>
                <w:szCs w:val="20"/>
                <w:u w:val="none"/>
              </w:rPr>
              <w:t xml:space="preserve">China GB 19147-2016 ULSD GB 17691—2018 ULSD</w:t>
            </w:r>
          </w:p>
          <w:p>
            <w:pPr>
              <w:numPr>
                <w:ilvl w:val="0"/>
                <w:numId w:val="28205"/>
              </w:numPr>
              <w:spacing w:before="0" w:after="0" w:line="262" w:lineRule="auto"/>
              <w:jc w:val="left"/>
              <w:rPr>
                <w:color w:val="00274C"/>
                <w:sz w:val="20"/>
                <w:szCs w:val="20"/>
              </w:rPr>
            </w:pPr>
            <w:r>
              <w:rPr>
                <w:color w:val="00274C"/>
                <w:position w:val="-2"/>
                <w:sz w:val="20"/>
                <w:szCs w:val="20"/>
                <w:u w:val="none"/>
              </w:rPr>
              <w:t xml:space="preserve">HVO EN 15940 oder ASTM D975</w:t>
            </w:r>
          </w:p>
          <w:p>
            <w:pPr>
              <w:numPr>
                <w:ilvl w:val="0"/>
                <w:numId w:val="28205"/>
              </w:numPr>
              <w:spacing w:before="0" w:after="0" w:line="262" w:lineRule="auto"/>
              <w:jc w:val="left"/>
              <w:rPr>
                <w:color w:val="00274C"/>
                <w:sz w:val="20"/>
                <w:szCs w:val="20"/>
              </w:rPr>
            </w:pPr>
            <w:r>
              <w:rPr>
                <w:color w:val="00274C"/>
                <w:position w:val="-2"/>
                <w:sz w:val="20"/>
                <w:szCs w:val="20"/>
                <w:u w:val="none"/>
              </w:rPr>
              <w:t xml:space="preserve">Militärischer NATO-Kraftstoff F-54 S &lt; 10 ppm</w:t>
            </w:r>
          </w:p>
          <w:p/>
          <w:p/>
          <w:p>
            <w:pPr>
              <w:widowControl w:val="on"/>
              <w:pBdr/>
              <w:spacing w:before="0" w:after="0" w:line="262" w:lineRule="auto"/>
              <w:ind w:left="0" w:right="0"/>
              <w:jc w:val="left"/>
              <w:textAlignment w:val="center"/>
            </w:pPr>
            <w:r>
              <w:rPr>
                <w:b/>
                <w:bCs/>
                <w:color w:val="00274C"/>
                <w:position w:val="-2"/>
                <w:sz w:val="20"/>
                <w:szCs w:val="20"/>
                <w:u w:val="none"/>
              </w:rPr>
              <w:t xml:space="preserve">Nicht regulierte Triebwerke (übrige Welt und militärische Anwendungen)</w:t>
            </w:r>
          </w:p>
          <w:p>
            <w:pPr>
              <w:numPr>
                <w:ilvl w:val="0"/>
                <w:numId w:val="28205"/>
              </w:numPr>
              <w:spacing w:before="0" w:after="0" w:line="262" w:lineRule="auto"/>
              <w:jc w:val="left"/>
              <w:rPr>
                <w:color w:val="00274C"/>
                <w:sz w:val="20"/>
                <w:szCs w:val="20"/>
              </w:rPr>
            </w:pPr>
            <w:r>
              <w:rPr>
                <w:color w:val="00274C"/>
                <w:position w:val="-2"/>
                <w:sz w:val="20"/>
                <w:szCs w:val="20"/>
                <w:u w:val="none"/>
              </w:rPr>
              <w:t xml:space="preserve">Entspricht allen oben genannten Spezifikationen</w:t>
            </w:r>
          </w:p>
          <w:p>
            <w:pPr>
              <w:numPr>
                <w:ilvl w:val="0"/>
                <w:numId w:val="28205"/>
              </w:numPr>
              <w:spacing w:before="0" w:after="0" w:line="262" w:lineRule="auto"/>
              <w:jc w:val="left"/>
              <w:rPr>
                <w:color w:val="00274C"/>
                <w:sz w:val="20"/>
                <w:szCs w:val="20"/>
              </w:rPr>
            </w:pPr>
            <w:r>
              <w:rPr>
                <w:color w:val="00274C"/>
                <w:position w:val="-2"/>
                <w:sz w:val="20"/>
                <w:szCs w:val="20"/>
                <w:u w:val="none"/>
              </w:rPr>
              <w:t xml:space="preserve">Entspricht allen oben genannten Spezifikationen, jedoch mit einem Schwefelgehalt &lt; 500 ppm</w:t>
            </w:r>
          </w:p>
          <w:p>
            <w:pPr>
              <w:numPr>
                <w:ilvl w:val="0"/>
                <w:numId w:val="28205"/>
              </w:numPr>
              <w:spacing w:before="0" w:after="0" w:line="262" w:lineRule="auto"/>
              <w:jc w:val="left"/>
              <w:rPr>
                <w:color w:val="00274C"/>
                <w:sz w:val="20"/>
                <w:szCs w:val="20"/>
              </w:rPr>
            </w:pPr>
            <w:r>
              <w:rPr>
                <w:color w:val="00274C"/>
                <w:position w:val="-2"/>
                <w:sz w:val="20"/>
                <w:szCs w:val="20"/>
                <w:u w:val="none"/>
              </w:rPr>
              <w:t xml:space="preserve">Entspricht allen oben genannten Spezifikationen, jedoch mit einem Schwefelgehalt &lt; 2000 ppm</w:t>
            </w:r>
          </w:p>
          <w:p>
            <w:pPr>
              <w:numPr>
                <w:ilvl w:val="0"/>
                <w:numId w:val="28205"/>
              </w:numPr>
              <w:spacing w:before="0" w:after="0" w:line="262" w:lineRule="auto"/>
              <w:jc w:val="left"/>
              <w:rPr>
                <w:color w:val="00274C"/>
                <w:sz w:val="20"/>
                <w:szCs w:val="20"/>
              </w:rPr>
            </w:pPr>
            <w:r>
              <w:rPr>
                <w:color w:val="00274C"/>
                <w:position w:val="-2"/>
                <w:sz w:val="20"/>
                <w:szCs w:val="20"/>
                <w:u w:val="none"/>
              </w:rPr>
              <w:t xml:space="preserve">F-34/F-35 (Kerosin, NATO-Bezeichnung)  </w:t>
            </w:r>
            <w:r>
              <w:rPr>
                <w:b/>
                <w:bCs/>
                <w:color w:val="00274C"/>
                <w:position w:val="-2"/>
                <w:sz w:val="20"/>
                <w:szCs w:val="20"/>
                <w:u w:val="none"/>
              </w:rPr>
              <w:t xml:space="preserve">(1)</w:t>
            </w:r>
          </w:p>
          <w:p>
            <w:pPr>
              <w:numPr>
                <w:ilvl w:val="0"/>
                <w:numId w:val="28205"/>
              </w:numPr>
              <w:spacing w:before="0" w:after="0" w:line="262" w:lineRule="auto"/>
              <w:jc w:val="left"/>
              <w:rPr>
                <w:color w:val="00274C"/>
                <w:sz w:val="20"/>
                <w:szCs w:val="20"/>
              </w:rPr>
            </w:pPr>
            <w:r>
              <w:rPr>
                <w:color w:val="00274C"/>
                <w:position w:val="-2"/>
                <w:sz w:val="20"/>
                <w:szCs w:val="20"/>
                <w:u w:val="none"/>
              </w:rPr>
              <w:t xml:space="preserve">F-44 (Kerosin, NATO-Bezeichnung)  </w:t>
            </w:r>
            <w:r>
              <w:rPr>
                <w:b/>
                <w:bCs/>
                <w:color w:val="00274C"/>
                <w:position w:val="-2"/>
                <w:sz w:val="20"/>
                <w:szCs w:val="20"/>
                <w:u w:val="none"/>
              </w:rPr>
              <w:t xml:space="preserve">(1)</w:t>
            </w:r>
          </w:p>
          <w:p>
            <w:pPr>
              <w:numPr>
                <w:ilvl w:val="0"/>
                <w:numId w:val="28205"/>
              </w:numPr>
              <w:spacing w:before="0" w:after="0" w:line="262" w:lineRule="auto"/>
              <w:jc w:val="left"/>
              <w:rPr>
                <w:color w:val="00274C"/>
                <w:sz w:val="20"/>
                <w:szCs w:val="20"/>
              </w:rPr>
            </w:pPr>
            <w:r>
              <w:rPr>
                <w:color w:val="00274C"/>
                <w:position w:val="-2"/>
                <w:sz w:val="20"/>
                <w:szCs w:val="20"/>
                <w:u w:val="none"/>
              </w:rPr>
              <w:t xml:space="preserve">F-63 (Kerosin, NATO-Bezeichnung, entspricht F-34/F-35 mit Additiven)  </w:t>
            </w:r>
            <w:r>
              <w:rPr>
                <w:b/>
                <w:bCs/>
                <w:color w:val="00274C"/>
                <w:position w:val="-2"/>
                <w:sz w:val="20"/>
                <w:szCs w:val="20"/>
                <w:u w:val="none"/>
              </w:rPr>
              <w:t xml:space="preserve">(1)</w:t>
            </w:r>
          </w:p>
          <w:p>
            <w:pPr>
              <w:numPr>
                <w:ilvl w:val="0"/>
                <w:numId w:val="28205"/>
              </w:numPr>
              <w:spacing w:before="0" w:after="0" w:line="262" w:lineRule="auto"/>
              <w:jc w:val="left"/>
              <w:rPr>
                <w:color w:val="00274C"/>
                <w:sz w:val="20"/>
                <w:szCs w:val="20"/>
              </w:rPr>
            </w:pPr>
            <w:r>
              <w:rPr>
                <w:color w:val="00274C"/>
                <w:position w:val="-2"/>
                <w:sz w:val="20"/>
                <w:szCs w:val="20"/>
                <w:u w:val="none"/>
              </w:rPr>
              <w:t xml:space="preserve">JP-8 (Kerosin, US-Militärbezeichnung)  </w:t>
            </w:r>
            <w:r>
              <w:rPr>
                <w:b/>
                <w:bCs/>
                <w:color w:val="00274C"/>
                <w:position w:val="-2"/>
                <w:sz w:val="20"/>
                <w:szCs w:val="20"/>
                <w:u w:val="none"/>
              </w:rPr>
              <w:t xml:space="preserve">(1)</w:t>
            </w:r>
          </w:p>
          <w:p>
            <w:pPr>
              <w:numPr>
                <w:ilvl w:val="0"/>
                <w:numId w:val="28205"/>
              </w:numPr>
              <w:spacing w:before="0" w:after="0" w:line="262" w:lineRule="auto"/>
              <w:jc w:val="left"/>
              <w:rPr>
                <w:color w:val="00274C"/>
                <w:sz w:val="20"/>
                <w:szCs w:val="20"/>
              </w:rPr>
            </w:pPr>
            <w:r>
              <w:rPr>
                <w:color w:val="00274C"/>
                <w:position w:val="-2"/>
                <w:sz w:val="20"/>
                <w:szCs w:val="20"/>
                <w:u w:val="none"/>
              </w:rPr>
              <w:t xml:space="preserve">JP-5 (Kerosin, US-Militärbezeichnung)  </w:t>
            </w:r>
            <w:r>
              <w:rPr>
                <w:b/>
                <w:bCs/>
                <w:color w:val="00274C"/>
                <w:position w:val="-2"/>
                <w:sz w:val="20"/>
                <w:szCs w:val="20"/>
                <w:u w:val="none"/>
              </w:rPr>
              <w:t xml:space="preserve">(1)</w:t>
            </w:r>
          </w:p>
          <w:p>
            <w:pPr>
              <w:numPr>
                <w:ilvl w:val="0"/>
                <w:numId w:val="28205"/>
              </w:numPr>
              <w:spacing w:before="0" w:after="0" w:line="262" w:lineRule="auto"/>
              <w:jc w:val="left"/>
              <w:rPr>
                <w:color w:val="00274C"/>
                <w:sz w:val="20"/>
                <w:szCs w:val="20"/>
              </w:rPr>
            </w:pPr>
            <w:r>
              <w:rPr>
                <w:color w:val="00274C"/>
                <w:position w:val="-2"/>
                <w:sz w:val="20"/>
                <w:szCs w:val="20"/>
                <w:u w:val="none"/>
              </w:rPr>
              <w:t xml:space="preserve">Jet A / A1 (Flugzeugkraftstoff)  </w:t>
            </w:r>
            <w:r>
              <w:rPr>
                <w:b/>
                <w:bCs/>
                <w:color w:val="00274C"/>
                <w:position w:val="-2"/>
                <w:sz w:val="20"/>
                <w:szCs w:val="20"/>
                <w:u w:val="none"/>
              </w:rPr>
              <w:t xml:space="preserve">(1)</w:t>
            </w:r>
          </w:p>
          <w:p/>
          <w:p/>
          <w:p>
            <w:pPr>
              <w:widowControl w:val="on"/>
              <w:pBdr/>
              <w:spacing w:before="0" w:after="0" w:line="262" w:lineRule="auto"/>
              <w:ind w:left="0" w:right="0"/>
              <w:jc w:val="left"/>
              <w:textAlignment w:val="center"/>
            </w:pPr>
            <w:r>
              <w:rPr>
                <w:b/>
                <w:bCs/>
                <w:color w:val="00274C"/>
                <w:position w:val="-2"/>
                <w:sz w:val="20"/>
                <w:szCs w:val="20"/>
                <w:u w:val="none"/>
              </w:rPr>
              <w:t xml:space="preserve">(1)</w:t>
            </w:r>
            <w:r>
              <w:rPr>
                <w:color w:val="00274C"/>
                <w:position w:val="-2"/>
                <w:sz w:val="20"/>
                <w:szCs w:val="20"/>
                <w:u w:val="none"/>
              </w:rPr>
              <w:t xml:space="preserve">  Betrieb mit Flugkraftstoffen: Flugkraftstoffe dürfen nur mit einem zusätzlichen Kraftstofffilter mit Schmierstoffdosiereinrichtung verwendet werden. Aufgrund der geringeren Dichte und des erhöhten Volumenverlusts des Kraftstoffs aufgrund seiner niedrigeren Viskosität ist ein Leistungsverlust von bis zu 10 % möglich, abhängig von Motordrehzahl und Drehmoment. Die aufgeführten Flugkraftstoffe weisen einige problematische Eigenschaften auf (Viskosität, Schmierfähigkeit und niedriger Siedepunkt). Es ist mit einem leicht erhöhten Verschleiß im Einspritzsystem zu rechnen, was statistisch zu einer kürzeren Lebensdauer dieser Komponenten führen kann. Der Schwefelgehalt muss unter 2000 ppm liegen.</w:t>
            </w:r>
          </w:p>
          <w:p/>
          <w:p/>
          <w:p/>
          <w:p/>
          <w:p>
            <w:pPr>
              <w:widowControl w:val="on"/>
              <w:pBdr/>
              <w:spacing w:before="0" w:after="0" w:line="262" w:lineRule="auto"/>
              <w:ind w:left="0" w:right="0"/>
              <w:jc w:val="left"/>
              <w:textAlignment w:val="center"/>
            </w:pPr>
            <w:r>
              <w:rPr>
                <w:b/>
                <w:bCs/>
                <w:color w:val="00274C"/>
                <w:position w:val="-2"/>
                <w:sz w:val="20"/>
                <w:szCs w:val="20"/>
                <w:u w:val="none"/>
              </w:rPr>
              <w:t xml:space="preserve">2.5.1 Kraftstoffadditive</w:t>
            </w:r>
          </w:p>
          <w:p>
            <w:pPr>
              <w:widowControl w:val="on"/>
              <w:pBdr/>
              <w:spacing w:before="0" w:after="0" w:line="262" w:lineRule="auto"/>
              <w:ind w:left="0" w:right="0"/>
              <w:jc w:val="left"/>
              <w:textAlignment w:val="center"/>
            </w:pPr>
            <w:r>
              <w:rPr>
                <w:color w:val="00274C"/>
                <w:position w:val="-2"/>
                <w:sz w:val="20"/>
                <w:szCs w:val="20"/>
                <w:u w:val="none"/>
              </w:rPr>
              <w:t xml:space="preserve">Um die Leistungsfähigkeit des Einspritzkreislaufs aufrechtzuerhalten, hat Rehlko eine Reihe von Additivprodukten für den nordamerikanischen Markt entwickelt..</w:t>
            </w:r>
          </w:p>
          <w:p/>
          <w:p/>
          <w:p>
            <w:pPr>
              <w:widowControl w:val="on"/>
              <w:pBdr/>
              <w:spacing w:before="0" w:after="0" w:line="262" w:lineRule="auto"/>
              <w:ind w:left="0" w:right="0"/>
              <w:jc w:val="left"/>
              <w:textAlignment w:val="center"/>
            </w:pPr>
            <w:r>
              <w:rPr>
                <w:b/>
                <w:bCs/>
                <w:color w:val="00274C"/>
                <w:position w:val="-2"/>
                <w:sz w:val="20"/>
                <w:szCs w:val="20"/>
                <w:u w:val="none"/>
              </w:rPr>
              <w:t xml:space="preserve">Arctic Formula Extra Performance</w:t>
            </w:r>
            <w:r>
              <w:rPr>
                <w:color w:val="00274C"/>
                <w:position w:val="-2"/>
                <w:sz w:val="20"/>
                <w:szCs w:val="20"/>
                <w:u w:val="none"/>
              </w:rPr>
              <w:t xml:space="preserve">  Kraftstoffadditiv für den Winter, Das Kraftstoffadditiv  </w:t>
            </w:r>
            <w:r>
              <w:rPr>
                <w:b/>
                <w:bCs/>
                <w:color w:val="00274C"/>
                <w:position w:val="-2"/>
                <w:sz w:val="20"/>
                <w:szCs w:val="20"/>
                <w:u w:val="none"/>
              </w:rPr>
              <w:t xml:space="preserve">Extra Performance</w:t>
            </w:r>
            <w:r>
              <w:rPr>
                <w:color w:val="00274C"/>
                <w:position w:val="-2"/>
                <w:sz w:val="20"/>
                <w:szCs w:val="20"/>
                <w:u w:val="none"/>
              </w:rPr>
              <w:t xml:space="preserve">  reinigt Einspritzdüsen und verhindert deren Bildung. Informationen zur Verfügbarkeit erhalten Sie bei Ihrem Rehlko-Händler.</w:t>
            </w:r>
          </w:p>
          <w:p/>
          <w:p/>
          <w:p>
            <w:pPr>
              <w:widowControl w:val="on"/>
              <w:pBdr/>
              <w:spacing w:before="0" w:after="0" w:line="262" w:lineRule="auto"/>
              <w:ind w:left="0" w:right="0"/>
              <w:jc w:val="left"/>
              <w:textAlignment w:val="center"/>
            </w:pPr>
            <w:r>
              <w:rPr>
                <w:rFonts w:ascii="Arial" w:hAnsi="Arial" w:eastAsia="Arial" w:cs="Arial"/>
                <w:b/>
                <w:bCs/>
                <w:color w:val="00274C"/>
                <w:position w:val="-2"/>
                <w:sz w:val="20"/>
                <w:szCs w:val="20"/>
                <w:u w:val="none"/>
              </w:rPr>
              <w:t xml:space="preserve">2.3</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Rehlko Extra Performance Fuel Additive</w:t>
                  </w:r>
                </w:p>
                <w:p>
                  <w:pPr>
                    <w:widowControl w:val="on"/>
                    <w:pBdr/>
                    <w:spacing w:before="0" w:after="0" w:line="262" w:lineRule="auto"/>
                    <w:ind w:left="0" w:right="0"/>
                    <w:jc w:val="left"/>
                    <w:textAlignment w:val="center"/>
                  </w:pPr>
                  <w:r>
                    <w:rPr>
                      <w:color w:val="00274C"/>
                      <w:position w:val="-2"/>
                      <w:sz w:val="20"/>
                      <w:szCs w:val="20"/>
                      <w:u w:val="none"/>
                    </w:rPr>
                    <w:t xml:space="preserve">(Nur Nordamerika)</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r>
                    <w:rPr>
                      <w:position w:val="-620"/>
                    </w:rPr>
                    <w:drawing>
                      <wp:inline distT="0" distB="0" distL="0" distR="0">
                        <wp:extent cx="1591200" cy="3924000"/>
                        <wp:effectExtent b="0" l="0" r="0" t="0"/>
                        <wp:docPr id="89657195" name="name310369bd53ab59bd6" descr="Rehlko_Extra%2520Performance%2520Fuel%2520Additive%2520-%2520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Extra%2520Performance%2520Fuel%2520Additive%2520-%2520NA.jpg"/>
                                <pic:cNvPicPr/>
                              </pic:nvPicPr>
                              <pic:blipFill>
                                <a:blip r:embed="rId703169bd53ab59bd0" cstate="print"/>
                                <a:stretch>
                                  <a:fillRect/>
                                </a:stretch>
                              </pic:blipFill>
                              <pic:spPr>
                                <a:xfrm>
                                  <a:off x="0" y="0"/>
                                  <a:ext cx="1591200" cy="3924000"/>
                                </a:xfrm>
                                <a:prstGeom prst="rect">
                                  <a:avLst/>
                                </a:prstGeom>
                                <a:ln w="0">
                                  <a:noFill/>
                                </a:ln>
                              </pic:spPr>
                            </pic:pic>
                          </a:graphicData>
                        </a:graphic>
                      </wp:inline>
                    </w:drawing>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Verwenden Sie den Dieselkraftstoffzusatz Rehlko Injector Cleaner einmal jährlich oder alle 500 Betriebsstunden vor dem Tanken mit Sommer- oder Winterkraftstoff. Er wurde speziell entwickelt, um Ablagerungen an den Einspritzdüsen zu entfernen und die Hochdruckpumpe sowie die Einspritzdüsen zu schmieren, um Verschleiß zu reduzieren und die Kraftstoffqualität zu verbessern. Kompatibel mit allen Abgasreinigungssystemen, einschließlich Dieselpartikelfiltern (DPF). Beachten Sie alle Anwendungshinweise auf dem Produktetikett.</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Rehlko Extra Performance Fuel Additive Arctic Formula</w:t>
                  </w:r>
                </w:p>
                <w:p>
                  <w:pPr>
                    <w:widowControl w:val="on"/>
                    <w:pBdr/>
                    <w:spacing w:before="0" w:after="0" w:line="262" w:lineRule="auto"/>
                    <w:ind w:left="0" w:right="0"/>
                    <w:jc w:val="left"/>
                    <w:textAlignment w:val="center"/>
                  </w:pPr>
                  <w:r>
                    <w:rPr>
                      <w:color w:val="00274C"/>
                      <w:position w:val="-2"/>
                      <w:sz w:val="20"/>
                      <w:szCs w:val="20"/>
                      <w:u w:val="none"/>
                    </w:rPr>
                    <w:t xml:space="preserve">(Nur Nordamerika)</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  </w:t>
                  </w:r>
                  <w:r>
                    <w:rPr>
                      <w:position w:val="-732"/>
                    </w:rPr>
                    <w:drawing>
                      <wp:inline distT="0" distB="0" distL="0" distR="0">
                        <wp:extent cx="1864800" cy="4622400"/>
                        <wp:effectExtent b="0" l="0" r="0" t="0"/>
                        <wp:docPr id="38677925" name="name964269bd53ab5ef12" descr="Rehlko_Fuel%2520Additive%2520Arctic%2520Formula%2520-%2520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Fuel%2520Additive%2520Arctic%2520Formula%2520-%2520NA.jpg"/>
                                <pic:cNvPicPr/>
                              </pic:nvPicPr>
                              <pic:blipFill>
                                <a:blip r:embed="rId148069bd53ab5ef0d" cstate="print"/>
                                <a:stretch>
                                  <a:fillRect/>
                                </a:stretch>
                              </pic:blipFill>
                              <pic:spPr>
                                <a:xfrm>
                                  <a:off x="0" y="0"/>
                                  <a:ext cx="1864800" cy="4622400"/>
                                </a:xfrm>
                                <a:prstGeom prst="rect">
                                  <a:avLst/>
                                </a:prstGeom>
                                <a:ln w="0">
                                  <a:noFill/>
                                </a:ln>
                              </pic:spPr>
                            </pic:pic>
                          </a:graphicData>
                        </a:graphic>
                      </wp:inline>
                    </w:drawing>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Verwenden Sie den Kraftstoffzusatz Rehlko Extra Performance Arctic Formula, der ein Frostschutzmittel enthält, um Kraftstoffe, die nicht für den Winter geeignet sind (in Nordamerika z. B. Nr. 2-D), bei Kälte zu behandeln. Dadurch wird der Betrieb bis ca. 10 °C unterhalb des Wachskristallisationspunktes ermöglicht. Für noch kältere Temperaturen verwenden Sie Winterkraftstoff. Behandeln Sie den Kraftstoff, sobald die Außentemperatur unter 0 °C fällt. Für optimale Ergebnisse verwenden Sie unbehandelten Kraftstoff und befolgen Sie alle Anweisungen auf dem Produktetikett.</w:t>
                  </w:r>
                </w:p>
                <w:p/>
                <w:p/>
                <w:p>
                  <w:pPr>
                    <w:widowControl w:val="on"/>
                    <w:pBdr/>
                    <w:spacing w:before="0" w:after="0" w:line="262" w:lineRule="auto"/>
                    <w:ind w:left="0" w:right="0"/>
                    <w:jc w:val="left"/>
                    <w:textAlignment w:val="center"/>
                  </w:pPr>
                  <w:r>
                    <w:rPr>
                      <w:color w:val="00274C"/>
                      <w:position w:val="-2"/>
                      <w:sz w:val="20"/>
                      <w:szCs w:val="20"/>
                      <w:u w:val="none"/>
                    </w:rPr>
                    <w:t xml:space="preserve">Der Wachskristallisationspunkt ist die Temperatur, bei der sich Wachs im Kraftstoff absetzt und Filter verstopfen kann.</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Kraftstoffadditive mit bioziden/algiziden Eigenschaften sind nur für Kraftstoffe zulässig, die über einen längeren Zeitraum (ein Jahr oder länger) in Tanks gelagert werden.</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Für Produktempfehlungen wenden Sie sich bitte an die Mitarbeiter von Rehlko. </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HINWEIS:</w:t>
                  </w:r>
                  <w:r>
                    <w:rPr>
                      <w:color w:val="00274C"/>
                      <w:position w:val="-2"/>
                      <w:sz w:val="20"/>
                      <w:szCs w:val="20"/>
                      <w:u w:val="none"/>
                    </w:rPr>
                    <w:t xml:space="preserve">  Diese Zusatzstoffe müssen beim Befüllen des Tanks gemäß der Produktvorschrift prozentual verdünnt werden.</w:t>
                  </w:r>
                </w:p>
              </w:tc>
              <w:tc>
                <w:tcPr>
                  <w:gridSpan w:val="1"/>
                  <w:vMerge w:val="continue"/>
                  <w:tcBorders>
                    <w:top w:val="single" w:color="CCCCCC" w:sz="5"/>
                    <w:left w:val="single" w:color="CCCCCC" w:sz="5"/>
                    <w:bottom w:val="single" w:color="CCCCCC" w:sz="5"/>
                    <w:right w:val="single" w:color="CCCCCC" w:sz="5"/>
                  </w:tcBorders>
                </w:tcP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Empfehlung für das Kühlmittel</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Es wird empfohlen, das vorgemischte Kühlmittel Rehlko Xtended™ mit 50 % Ethylenglykol-OAT zu verwenden. </w:t>
            </w:r>
          </w:p>
          <w:p/>
          <w:p/>
          <w:p>
            <w:pPr>
              <w:widowControl w:val="on"/>
              <w:pBdr/>
              <w:spacing w:before="0" w:after="0" w:line="262" w:lineRule="auto"/>
              <w:ind w:left="0" w:right="0"/>
              <w:jc w:val="left"/>
              <w:textAlignment w:val="center"/>
            </w:pPr>
            <w:r>
              <w:rPr>
                <w:position w:val="-353"/>
              </w:rPr>
              <w:drawing>
                <wp:inline distT="0" distB="0" distL="0" distR="0">
                  <wp:extent cx="2844000" cy="4456800"/>
                  <wp:effectExtent b="0" l="0" r="0" t="0"/>
                  <wp:docPr id="94376498" name="name670369bd53ab65d24" descr="Rehlko_Xtended%2520Life%2520Coolant%2520-%2520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ended%2520Life%2520Coolant%2520-%2520NA.jpg"/>
                          <pic:cNvPicPr/>
                        </pic:nvPicPr>
                        <pic:blipFill>
                          <a:blip r:embed="rId369169bd53ab65d1f" cstate="print"/>
                          <a:stretch>
                            <a:fillRect/>
                          </a:stretch>
                        </pic:blipFill>
                        <pic:spPr>
                          <a:xfrm>
                            <a:off x="0" y="0"/>
                            <a:ext cx="2844000" cy="44568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Es wird außerdem empfohlen, Kältemittel zu verwenden, die den folgenden Spezifikationen entsprechen. </w:t>
            </w:r>
          </w:p>
          <w:p/>
          <w:p/>
          <w:p>
            <w:pPr>
              <w:widowControl w:val="on"/>
              <w:pBdr/>
              <w:spacing w:before="0" w:after="0" w:line="262" w:lineRule="auto"/>
              <w:ind w:left="0" w:right="0"/>
              <w:jc w:val="left"/>
              <w:textAlignment w:val="center"/>
            </w:pPr>
            <w:r>
              <w:rPr>
                <w:color w:val="00274C"/>
                <w:position w:val="-2"/>
                <w:sz w:val="20"/>
                <w:szCs w:val="20"/>
                <w:u w:val="none"/>
              </w:rPr>
              <w:t xml:space="preserve">Als Kühlmittel muss ein Gemisch von 50 % entmineralisiertes Wasser und 50 % Ethylenglykol mit niedrigem Silikatgehalt benutzt werden. Ein OAT-Hochleistungskühlmittel mit langer Haltbarkeit ohne Silikate, Phosphate, Borate, Nitrite und Amine verwenden.</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Die folgenden Motorkühlmittel auf Ethylenglykolbasis können für alle Modelle der KSD-Motorfamilie verwendet werden: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8205"/>
              </w:numPr>
              <w:spacing w:before="0" w:after="0" w:line="262" w:lineRule="auto"/>
              <w:jc w:val="left"/>
              <w:rPr>
                <w:color w:val="00274C"/>
                <w:sz w:val="20"/>
                <w:szCs w:val="20"/>
              </w:rPr>
            </w:pPr>
            <w:r>
              <w:rPr>
                <w:color w:val="00274C"/>
                <w:position w:val="-2"/>
                <w:sz w:val="20"/>
                <w:szCs w:val="20"/>
                <w:u w:val="none"/>
              </w:rPr>
              <w:t xml:space="preserve">OAT (Organic Acid Technology) mit niedrigem Silikatgehalt:  </w:t>
            </w:r>
            <w:r>
              <w:rPr>
                <w:b/>
                <w:bCs/>
                <w:color w:val="00274C"/>
                <w:position w:val="-2"/>
                <w:sz w:val="20"/>
                <w:szCs w:val="20"/>
                <w:u w:val="none"/>
              </w:rPr>
              <w:t xml:space="preserve">ASTM D-3306 D-6210</w:t>
            </w:r>
          </w:p>
          <w:p>
            <w:pPr>
              <w:numPr>
                <w:ilvl w:val="0"/>
                <w:numId w:val="28205"/>
              </w:numPr>
              <w:spacing w:before="0" w:after="0" w:line="262" w:lineRule="auto"/>
              <w:jc w:val="left"/>
              <w:rPr>
                <w:color w:val="00274C"/>
                <w:sz w:val="20"/>
                <w:szCs w:val="20"/>
              </w:rPr>
            </w:pPr>
            <w:r>
              <w:rPr>
                <w:color w:val="00274C"/>
                <w:position w:val="-2"/>
                <w:sz w:val="20"/>
                <w:szCs w:val="20"/>
                <w:u w:val="none"/>
              </w:rPr>
              <w:t xml:space="preserve">HOAT (Hybrid Organic Acid Technology) mit niedrigem Silikatgehalt:  </w:t>
            </w:r>
            <w:r>
              <w:rPr>
                <w:b/>
                <w:bCs/>
                <w:color w:val="00274C"/>
                <w:position w:val="-2"/>
                <w:sz w:val="20"/>
                <w:szCs w:val="20"/>
                <w:u w:val="none"/>
              </w:rPr>
              <w:t xml:space="preserve">ASTM D-3306 D-6210</w:t>
            </w:r>
          </w:p>
          <w:p/>
          <w:p/>
          <w:p>
            <w:pPr>
              <w:widowControl w:val="on"/>
              <w:pBdr/>
              <w:spacing w:before="0" w:after="0" w:line="262" w:lineRule="auto"/>
              <w:ind w:left="0" w:right="0"/>
              <w:jc w:val="left"/>
              <w:textAlignment w:val="center"/>
            </w:pPr>
            <w:r>
              <w:rPr>
                <w:color w:val="00274C"/>
                <w:position w:val="-2"/>
                <w:sz w:val="20"/>
                <w:szCs w:val="20"/>
                <w:u w:val="none"/>
              </w:rPr>
              <w:t xml:space="preserve">Die oben genannten konzentrierten Kühlmittel müssen mit destilliertem, entionisiertem oder entmineralisiertem Wasser gemischt werden. Falls vorhanden, kann direkt eine vorgemischte Formulierung (40-60 % oder 50-50 %) benutzt werden.</w:t>
            </w:r>
          </w:p>
          <w:p/>
          <w:p/>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84905371" name="name658769bd53ab6cf19"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293969bd53ab6cf14"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Wichtig</w:t>
            </w:r>
          </w:p>
          <w:p>
            <w:pPr>
              <w:numPr>
                <w:ilvl w:val="0"/>
                <w:numId w:val="28205"/>
              </w:numPr>
              <w:spacing w:before="0" w:after="0" w:line="262" w:lineRule="auto"/>
              <w:jc w:val="left"/>
              <w:rPr>
                <w:color w:val="00274C"/>
                <w:sz w:val="20"/>
                <w:szCs w:val="20"/>
              </w:rPr>
            </w:pPr>
            <w:r>
              <w:rPr>
                <w:color w:val="00274C"/>
                <w:position w:val="-2"/>
                <w:sz w:val="20"/>
                <w:szCs w:val="20"/>
                <w:u w:val="none"/>
              </w:rPr>
              <w:t xml:space="preserve">Keine Kühlmittel auf Ethylenglykol-Basis mit solchen auf Propylenglykol-Basis mischen. Keine OAT-Kühlmittel mit HOAT-Kühlmitteln mischen. Die Haltbarkeit von OAT-Kühlmitteln kann sich deutlich reduzieren, wenn sie mit nitrithaltigen Kühlmitteln kontaminiert werden.</w:t>
            </w:r>
          </w:p>
          <w:p>
            <w:pPr>
              <w:numPr>
                <w:ilvl w:val="0"/>
                <w:numId w:val="28205"/>
              </w:numPr>
              <w:spacing w:before="0" w:after="0" w:line="262" w:lineRule="auto"/>
              <w:jc w:val="left"/>
              <w:rPr>
                <w:color w:val="00274C"/>
                <w:sz w:val="20"/>
                <w:szCs w:val="20"/>
              </w:rPr>
            </w:pPr>
            <w:r>
              <w:rPr>
                <w:color w:val="00274C"/>
                <w:position w:val="-2"/>
                <w:sz w:val="20"/>
                <w:szCs w:val="20"/>
                <w:u w:val="none"/>
              </w:rPr>
              <w:t xml:space="preserve">Niemals Kühlmittel für Autos verwenden. Diese Kühlmittel enthalten nicht die richtigen Additive, um Hochleistungsdieselmotoren zu schützen.</w:t>
            </w:r>
          </w:p>
          <w:p/>
          <w:p/>
          <w:p>
            <w:pPr>
              <w:widowControl w:val="on"/>
              <w:pBdr/>
              <w:spacing w:before="0" w:after="0" w:line="262" w:lineRule="auto"/>
              <w:ind w:left="0" w:right="0"/>
              <w:jc w:val="left"/>
              <w:textAlignment w:val="center"/>
            </w:pPr>
            <w:r>
              <w:rPr>
                <w:color w:val="00274C"/>
                <w:position w:val="-2"/>
                <w:sz w:val="20"/>
                <w:szCs w:val="20"/>
                <w:u w:val="none"/>
              </w:rPr>
              <w:t xml:space="preserve">OAT-Kühlmittel sind bis 5 Jahre oder 4000 Betriebsstunden wartungsfrei, sofern immer das gleiche Kühlmittel in das Kühlsystem nachgefüllt wird. Keine unterschiedlichen Kühlmittel mischen. Den Zustand des Kühlmittels jährlich mit Kühlmittel-Teststreifen prüfen.</w:t>
            </w:r>
            <w:r>
              <w:rPr>
                <w:color w:val="00274C"/>
                <w:position w:val="-2"/>
                <w:sz w:val="20"/>
                <w:szCs w:val="20"/>
                <w:u w:val="none"/>
              </w:rPr>
              <w:br/>
              <w:t xml:space="preserve">HOAT-Kühlmittel sind nicht wartungsfrei und es wird empfohlen, bei der ersten Wartung SCA (Supplemental Coolant Additives) zuzusetzen.</w:t>
            </w:r>
          </w:p>
          <w:p/>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Merkmale Batterien</w:t>
      </w:r>
    </w:p>
    <w:p>
      <w:pPr>
        <w:widowControl w:val="on"/>
        <w:pBdr/>
        <w:spacing w:before="0" w:after="0" w:line="262" w:lineRule="auto"/>
        <w:ind w:left="0" w:right="0"/>
        <w:jc w:val="left"/>
      </w:pPr>
      <w:r>
        <w:rPr>
          <w:b/>
          <w:bCs/>
          <w:color w:val="00274C"/>
          <w:sz w:val="20"/>
          <w:szCs w:val="20"/>
          <w:u w:val="none"/>
        </w:rPr>
        <w:t xml:space="preserve">Die Batterie wird nicht von </w:t>
      </w:r>
      <w:r>
        <w:rPr>
          <w:color w:val="00274C"/>
          <w:sz w:val="20"/>
          <w:szCs w:val="20"/>
          <w:u w:val="none"/>
        </w:rPr>
        <w:t xml:space="preserve"> </w:t>
      </w:r>
      <w:r>
        <w:rPr>
          <w:b/>
          <w:bCs/>
          <w:color w:val="000000"/>
          <w:sz w:val="20"/>
          <w:szCs w:val="20"/>
          <w:u w:val="none"/>
        </w:rPr>
        <w:t xml:space="preserve">REHLKO </w:t>
      </w:r>
      <w:r>
        <w:rPr>
          <w:color w:val="00274C"/>
          <w:sz w:val="20"/>
          <w:szCs w:val="20"/>
          <w:u w:val="none"/>
        </w:rPr>
        <w:t xml:space="preserve"> </w:t>
      </w:r>
      <w:r>
        <w:rPr>
          <w:b/>
          <w:bCs/>
          <w:color w:val="00274C"/>
          <w:sz w:val="20"/>
          <w:szCs w:val="20"/>
          <w:u w:val="none"/>
        </w:rPr>
        <w:t xml:space="preserve">geliefert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Tab. 2.7</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EMPFOHLENE BATTERIEN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UMGEBUNGSTEMPERATUR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BATTERIETYP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 - 15°C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Ah - 800 CCA/SAE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&lt; -15°C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120 Ah - 1000 CCA/SAE</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Steuertafel</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In der </w:t>
            </w:r>
            <w:r>
              <w:rPr>
                <w:b/>
                <w:bCs/>
                <w:color w:val="00274C"/>
                <w:position w:val="-2"/>
                <w:sz w:val="20"/>
                <w:szCs w:val="20"/>
                <w:u w:val="none"/>
              </w:rPr>
              <w:t xml:space="preserve">Tab. 2.8</w:t>
            </w:r>
            <w:r>
              <w:rPr>
                <w:color w:val="00274C"/>
                <w:position w:val="-2"/>
                <w:sz w:val="20"/>
                <w:szCs w:val="20"/>
                <w:u w:val="none"/>
              </w:rPr>
              <w:t xml:space="preserve">  sind die Komponenten der Steuertafel angeführt.
</w:t>
            </w:r>
          </w:p>
          <w:p>
            <w:pPr>
              <w:widowControl w:val="on"/>
              <w:pBdr/>
              <w:spacing w:before="0" w:after="0" w:line="262" w:lineRule="auto"/>
              <w:ind w:left="0" w:right="0"/>
              <w:jc w:val="left"/>
              <w:textAlignment w:val="center"/>
            </w:pPr>
            <w:r>
              <w:rPr>
                <w:b/>
                <w:bCs/>
                <w:color w:val="00274C"/>
                <w:position w:val="-2"/>
                <w:sz w:val="20"/>
                <w:szCs w:val="20"/>
                <w:u w:val="none"/>
              </w:rPr>
              <w:br/>
              <w:t xml:space="preserve">Tab 2.8</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BESCHREIBUNG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Schlüsselschalter zum Einschalten von Schalttafel und Motor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Display zur Anzeige der Motordaten und -fehler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Navigationspfeiltaste oberes Menü</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Navigationspfeiltaste unteres Menü</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Taste zur Auswahl oder Eingaben von Daten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F</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LED Motorbetriebsstatus (grün = keine Störung ermittelt)</w:t>
                  </w:r>
                </w:p>
              </w:tc>
            </w:tr>
          </w:tbl>
          <w:p/>
        </w:tc>
        <w:tc>
          <w:tcPr>
            <w:tcW w:w="0" w:type="auto"/>
            <w:tcMar>
              <w:top w:w="150" w:type="dxa"/>
              <w:left w:w="150" w:type="dxa"/>
              <w:bottom w:w="150" w:type="dxa"/>
              <w:right w:w="150" w:type="dxa"/>
            </w:tcMar>
            <w:vAlign w:val="top"/>
          </w:tcPr>
          <w:p>
            <w:r>
              <w:rPr>
                <w:position w:val="-258"/>
              </w:rPr>
              <w:drawing>
                <wp:inline distT="0" distB="0" distL="0" distR="0">
                  <wp:extent cx="2232000" cy="1677600"/>
                  <wp:effectExtent b="0" l="0" r="0" t="0"/>
                  <wp:docPr id="3071588" name="name140869bd53ab7a3f0" descr="Cap_2_0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05.png"/>
                          <pic:cNvPicPr/>
                        </pic:nvPicPr>
                        <pic:blipFill>
                          <a:blip r:embed="rId236169bd53ab7a3eb" cstate="print"/>
                          <a:stretch>
                            <a:fillRect/>
                          </a:stretch>
                        </pic:blipFill>
                        <pic:spPr>
                          <a:xfrm>
                            <a:off x="0" y="0"/>
                            <a:ext cx="2232000" cy="1677600"/>
                          </a:xfrm>
                          <a:prstGeom prst="rect">
                            <a:avLst/>
                          </a:prstGeom>
                          <a:ln w="0">
                            <a:noFill/>
                          </a:ln>
                        </pic:spPr>
                      </pic:pic>
                    </a:graphicData>
                  </a:graphic>
                </wp:inline>
              </w:drawing>
            </w:r>
            <w:r>
              <w:rPr>
                <w:b/>
                <w:bCs/>
                <w:color w:val="00274C"/>
                <w:position w:val="0"/>
                <w:sz w:val="20"/>
                <w:szCs w:val="20"/>
                <w:u w:val="none"/>
              </w:rPr>
              <w:br/>
              <w:t xml:space="preserve">Abb. 2.1</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ANMERKUNG</w:t>
            </w:r>
            <w:r>
              <w:rPr>
                <w:color w:val="00274C"/>
                <w:position w:val="-2"/>
                <w:sz w:val="20"/>
                <w:szCs w:val="20"/>
                <w:u w:val="none"/>
              </w:rPr>
              <w:t xml:space="preserve"> : Wenn die LED </w:t>
            </w:r>
            <w:r>
              <w:rPr>
                <w:b/>
                <w:bCs/>
                <w:color w:val="00274C"/>
                <w:position w:val="-2"/>
                <w:sz w:val="20"/>
                <w:szCs w:val="20"/>
                <w:u w:val="none"/>
              </w:rPr>
              <w:t xml:space="preserve">F</w:t>
            </w:r>
            <w:r>
              <w:rPr>
                <w:color w:val="00274C"/>
                <w:position w:val="-2"/>
                <w:sz w:val="20"/>
                <w:szCs w:val="20"/>
                <w:u w:val="none"/>
              </w:rPr>
              <w:t xml:space="preserve"> rot aufleuchtet, die  </w:t>
            </w:r>
            <w:r>
              <w:rPr>
                <w:b/>
                <w:bCs/>
                <w:color w:val="000000"/>
                <w:position w:val="-2"/>
                <w:sz w:val="20"/>
                <w:szCs w:val="20"/>
                <w:u w:val="none"/>
              </w:rPr>
              <w:t xml:space="preserve">REHLKO </w:t>
            </w:r>
            <w:r>
              <w:rPr>
                <w:color w:val="00274C"/>
                <w:position w:val="-2"/>
                <w:sz w:val="20"/>
                <w:szCs w:val="20"/>
                <w:u w:val="none"/>
              </w:rPr>
              <w:t xml:space="preserve"> Fachwerkstätten zur Feststellung der Art der Störung kontaktieren. Bei einigen Störungen wird die automatische Motorabschaltung aktiviert.</w:t>
            </w:r>
          </w:p>
          <w:p/>
          <w:p/>
          <w:p>
            <w:pPr>
              <w:widowControl w:val="on"/>
              <w:pBdr/>
              <w:spacing w:before="0" w:after="0" w:line="262" w:lineRule="auto"/>
              <w:ind w:left="0" w:right="0"/>
              <w:jc w:val="left"/>
              <w:textAlignment w:val="center"/>
            </w:pPr>
            <w:r>
              <w:rPr>
                <w:color w:val="00274C"/>
                <w:position w:val="-2"/>
                <w:sz w:val="20"/>
                <w:szCs w:val="20"/>
                <w:u w:val="none"/>
              </w:rPr>
              <w:t xml:space="preserve">In der </w:t>
            </w:r>
            <w:r>
              <w:rPr>
                <w:b/>
                <w:bCs/>
                <w:color w:val="00274C"/>
                <w:position w:val="-2"/>
                <w:sz w:val="20"/>
                <w:szCs w:val="20"/>
                <w:u w:val="none"/>
              </w:rPr>
              <w:t xml:space="preserve">Tab. 2.9</w:t>
            </w:r>
            <w:r>
              <w:rPr>
                <w:color w:val="00274C"/>
                <w:position w:val="-2"/>
                <w:sz w:val="20"/>
                <w:szCs w:val="20"/>
                <w:u w:val="none"/>
              </w:rPr>
              <w:t xml:space="preserve">  werden die Daten angezeigt, die auf dem Display </w:t>
            </w:r>
            <w:r>
              <w:rPr>
                <w:b/>
                <w:bCs/>
                <w:color w:val="00274C"/>
                <w:position w:val="-2"/>
                <w:sz w:val="20"/>
                <w:szCs w:val="20"/>
                <w:u w:val="none"/>
              </w:rPr>
              <w:t xml:space="preserve">B</w:t>
            </w:r>
            <w:r>
              <w:rPr>
                <w:color w:val="00274C"/>
                <w:position w:val="-2"/>
                <w:sz w:val="20"/>
                <w:szCs w:val="20"/>
                <w:u w:val="none"/>
              </w:rPr>
              <w:t xml:space="preserve"> durch Drücken der Tasten </w:t>
            </w:r>
            <w:r>
              <w:rPr>
                <w:b/>
                <w:bCs/>
                <w:color w:val="00274C"/>
                <w:position w:val="-2"/>
                <w:sz w:val="20"/>
                <w:szCs w:val="20"/>
                <w:u w:val="none"/>
              </w:rPr>
              <w:t xml:space="preserve">C</w:t>
            </w:r>
            <w:r>
              <w:rPr>
                <w:color w:val="00274C"/>
                <w:position w:val="-2"/>
                <w:sz w:val="20"/>
                <w:szCs w:val="20"/>
                <w:u w:val="none"/>
              </w:rPr>
              <w:t xml:space="preserve"> oder </w:t>
            </w:r>
            <w:r>
              <w:rPr>
                <w:b/>
                <w:bCs/>
                <w:color w:val="00274C"/>
                <w:position w:val="-2"/>
                <w:sz w:val="20"/>
                <w:szCs w:val="20"/>
                <w:u w:val="none"/>
              </w:rPr>
              <w:t xml:space="preserve">D</w:t>
            </w:r>
            <w:r>
              <w:rPr>
                <w:color w:val="00274C"/>
                <w:position w:val="-2"/>
                <w:sz w:val="20"/>
                <w:szCs w:val="20"/>
                <w:u w:val="none"/>
              </w:rPr>
              <w:t xml:space="preserve"> abgerufen</w:t>
            </w:r>
          </w:p>
          <w:p/>
          <w:p/>
          <w:p>
            <w:pPr>
              <w:widowControl w:val="on"/>
              <w:pBdr/>
              <w:spacing w:before="0" w:after="0" w:line="262" w:lineRule="auto"/>
              <w:ind w:left="0" w:right="0"/>
              <w:jc w:val="left"/>
              <w:textAlignment w:val="center"/>
            </w:pPr>
            <w:r>
              <w:rPr>
                <w:b/>
                <w:bCs/>
                <w:color w:val="00274C"/>
                <w:position w:val="-2"/>
                <w:sz w:val="20"/>
                <w:szCs w:val="20"/>
                <w:u w:val="none"/>
              </w:rPr>
              <w:t xml:space="preserve">ANMERKUNG</w:t>
            </w:r>
            <w:r>
              <w:rPr>
                <w:color w:val="00274C"/>
                <w:position w:val="-2"/>
                <w:sz w:val="20"/>
                <w:szCs w:val="20"/>
                <w:u w:val="none"/>
              </w:rPr>
              <w:t xml:space="preserve"> : Die in der </w:t>
            </w:r>
            <w:r>
              <w:rPr>
                <w:b/>
                <w:bCs/>
                <w:color w:val="00274C"/>
                <w:position w:val="-2"/>
                <w:sz w:val="20"/>
                <w:szCs w:val="20"/>
                <w:u w:val="none"/>
              </w:rPr>
              <w:t xml:space="preserve">2.9</w:t>
            </w:r>
            <w:r>
              <w:rPr>
                <w:color w:val="00274C"/>
                <w:position w:val="-2"/>
                <w:sz w:val="20"/>
                <w:szCs w:val="20"/>
                <w:u w:val="none"/>
              </w:rPr>
              <w:t xml:space="preserve">  beschriebenen Daten können abweichen, siehe in diesem Fall das Handbuch der Maschine.</w:t>
            </w:r>
          </w:p>
          <w:p>
            <w:pPr>
              <w:widowControl w:val="on"/>
              <w:pBdr/>
              <w:spacing w:before="0" w:after="0" w:line="262" w:lineRule="auto"/>
              <w:ind w:left="0" w:right="0"/>
              <w:jc w:val="left"/>
              <w:textAlignment w:val="center"/>
            </w:pPr>
            <w:r>
              <w:rPr>
                <w:b/>
                <w:bCs/>
                <w:color w:val="00274C"/>
                <w:position w:val="-2"/>
                <w:sz w:val="20"/>
                <w:szCs w:val="20"/>
                <w:u w:val="none"/>
              </w:rPr>
              <w:br/>
              <w:t xml:space="preserve">Tab 2.9</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BESCHREIBUNG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Betriebsstunden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Verbleibende Stunden bis zur Wartung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Motordrehzahl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Motoröldruck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Kühlmitteltemperatur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Verwendetes Drehmoment @ U/min (% Verwendung)</w:t>
                  </w:r>
                </w:p>
              </w:tc>
            </w:tr>
          </w:tbl>
          <w:p/>
        </w:tc>
      </w:tr>
    </w:tbl>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A7ADF1" w14:textId="77777777" w:rsidR="006F534E" w:rsidRDefault="006F534E" w:rsidP="001F6AC5">
      <w:r>
        <w:separator/>
      </w:r>
    </w:p>
  </w:endnote>
  <w:endnote w:type="continuationSeparator" w:id="0">
    <w:p w14:paraId="5027009A" w14:textId="77777777" w:rsidR="006F534E" w:rsidRDefault="006F534E"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embedRegular r:id="rId1" w:fontKey="{0B99C823-4782-4F8E-B157-E9250D94EBEF}"/>
    <w:embedBold r:id="rId2" w:fontKey="{1F4D32D6-3A36-4E04-A7AB-C454D64A5CB7}"/>
    <w:embedItalic r:id="rId3" w:fontKey="{D075542F-D7CD-4A74-ABFD-D5D9C7AA3462}"/>
    <w:embedBoldItalic r:id="rId4" w:fontKey="{185503AB-AFA1-4B25-8D15-33AB58DDEE31}"/>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71"/>
      <w:gridCol w:w="5290"/>
      <w:gridCol w:w="5646"/>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de</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8"/>
      <w:gridCol w:w="4781"/>
      <w:gridCol w:w="5090"/>
      <w:gridCol w:w="877"/>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de</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6"/>
      <w:gridCol w:w="9179"/>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de</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5"/>
      <w:gridCol w:w="9045"/>
      <w:gridCol w:w="877"/>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de</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D90731" w14:textId="77777777" w:rsidR="006F534E" w:rsidRDefault="006F534E" w:rsidP="001F6AC5">
      <w:r>
        <w:separator/>
      </w:r>
    </w:p>
  </w:footnote>
  <w:footnote w:type="continuationSeparator" w:id="0">
    <w:p w14:paraId="77D76DD4" w14:textId="77777777" w:rsidR="006F534E" w:rsidRDefault="006F534E"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3C30C392">
                <wp:extent cx="728193" cy="194184"/>
                <wp:effectExtent l="0" t="0" r="0"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magine 40"/>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25ED253D">
                <wp:extent cx="728193" cy="194184"/>
                <wp:effectExtent l="0" t="0" r="0" b="0"/>
                <wp:docPr id="41" name="Immagin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magine 4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07663BF9"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0AE153BE"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663448">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0A241CBD">
                <wp:extent cx="728193" cy="194184"/>
                <wp:effectExtent l="0" t="0" r="0" b="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magine 4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1D060EE">
                <wp:extent cx="728193" cy="194184"/>
                <wp:effectExtent l="0" t="0" r="0" b="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magine 4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4548C273" w14:textId="46DCB77D"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663448">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53017EC9"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28206">
    <w:multiLevelType w:val="hybridMultilevel"/>
    <w:lvl w:ilvl="0" w:tplc="44462094">
      <w:start w:val="1"/>
      <w:numFmt w:val="decimal"/>
      <w:lvlText w:val="%1."/>
      <w:lvlJc w:val="left"/>
      <w:pPr>
        <w:ind w:left="720" w:hanging="360"/>
      </w:pPr>
    </w:lvl>
    <w:lvl w:ilvl="1" w:tplc="44462094" w:tentative="1">
      <w:start w:val="1"/>
      <w:numFmt w:val="lowerLetter"/>
      <w:lvlText w:val="%2."/>
      <w:lvlJc w:val="left"/>
      <w:pPr>
        <w:ind w:left="1440" w:hanging="360"/>
      </w:pPr>
    </w:lvl>
    <w:lvl w:ilvl="2" w:tplc="44462094" w:tentative="1">
      <w:start w:val="1"/>
      <w:numFmt w:val="lowerRoman"/>
      <w:lvlText w:val="%3."/>
      <w:lvlJc w:val="right"/>
      <w:pPr>
        <w:ind w:left="2160" w:hanging="180"/>
      </w:pPr>
    </w:lvl>
    <w:lvl w:ilvl="3" w:tplc="44462094" w:tentative="1">
      <w:start w:val="1"/>
      <w:numFmt w:val="decimal"/>
      <w:lvlText w:val="%4."/>
      <w:lvlJc w:val="left"/>
      <w:pPr>
        <w:ind w:left="2880" w:hanging="360"/>
      </w:pPr>
    </w:lvl>
    <w:lvl w:ilvl="4" w:tplc="44462094" w:tentative="1">
      <w:start w:val="1"/>
      <w:numFmt w:val="lowerLetter"/>
      <w:lvlText w:val="%5."/>
      <w:lvlJc w:val="left"/>
      <w:pPr>
        <w:ind w:left="3600" w:hanging="360"/>
      </w:pPr>
    </w:lvl>
    <w:lvl w:ilvl="5" w:tplc="44462094" w:tentative="1">
      <w:start w:val="1"/>
      <w:numFmt w:val="lowerRoman"/>
      <w:lvlText w:val="%6."/>
      <w:lvlJc w:val="right"/>
      <w:pPr>
        <w:ind w:left="4320" w:hanging="180"/>
      </w:pPr>
    </w:lvl>
    <w:lvl w:ilvl="6" w:tplc="44462094" w:tentative="1">
      <w:start w:val="1"/>
      <w:numFmt w:val="decimal"/>
      <w:lvlText w:val="%7."/>
      <w:lvlJc w:val="left"/>
      <w:pPr>
        <w:ind w:left="5040" w:hanging="360"/>
      </w:pPr>
    </w:lvl>
    <w:lvl w:ilvl="7" w:tplc="44462094" w:tentative="1">
      <w:start w:val="1"/>
      <w:numFmt w:val="lowerLetter"/>
      <w:lvlText w:val="%8."/>
      <w:lvlJc w:val="left"/>
      <w:pPr>
        <w:ind w:left="5760" w:hanging="360"/>
      </w:pPr>
    </w:lvl>
    <w:lvl w:ilvl="8" w:tplc="44462094" w:tentative="1">
      <w:start w:val="1"/>
      <w:numFmt w:val="lowerRoman"/>
      <w:lvlText w:val="%9."/>
      <w:lvlJc w:val="right"/>
      <w:pPr>
        <w:ind w:left="6480" w:hanging="180"/>
      </w:pPr>
    </w:lvl>
  </w:abstractNum>
  <w:abstractNum w:abstractNumId="28205">
    <w:multiLevelType w:val="hybridMultilevel"/>
    <w:lvl w:ilvl="0" w:tplc="15731795">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28205">
    <w:abstractNumId w:val="28205"/>
  </w:num>
  <w:num w:numId="28206">
    <w:abstractNumId w:val="2820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3448"/>
    <w:rsid w:val="00665FA1"/>
    <w:rsid w:val="006A1243"/>
    <w:rsid w:val="006B1E45"/>
    <w:rsid w:val="006D432C"/>
    <w:rsid w:val="006E1571"/>
    <w:rsid w:val="006F1130"/>
    <w:rsid w:val="006F534E"/>
    <w:rsid w:val="006F730B"/>
    <w:rsid w:val="00721871"/>
    <w:rsid w:val="007714A9"/>
    <w:rsid w:val="007A5F9D"/>
    <w:rsid w:val="007B279A"/>
    <w:rsid w:val="007B7B4C"/>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977816839" Type="http://schemas.openxmlformats.org/officeDocument/2006/relationships/comments" Target="comments.xml"/><Relationship Id="rId361969821" Type="http://schemas.microsoft.com/office/2011/relationships/commentsExtended" Target="commentsExtended.xml"/><Relationship Id="rId99986768" Type="http://schemas.openxmlformats.org/officeDocument/2006/relationships/image" Target="media/imgrId99986768.jpg"/><Relationship Id="rId590469bd53aa88c75" Type="http://schemas.openxmlformats.org/officeDocument/2006/relationships/image" Target="media/imgrId590469bd53aa88c75.png"/><Relationship Id="rId650869bd53aa90b88" Type="http://schemas.openxmlformats.org/officeDocument/2006/relationships/image" Target="media/imgrId650869bd53aa90b88.png"/><Relationship Id="rId962769bd53ab17465" Type="http://schemas.openxmlformats.org/officeDocument/2006/relationships/image" Target="media/imgrId962769bd53ab17465.png"/><Relationship Id="rId887069bd53ab1cbb3" Type="http://schemas.openxmlformats.org/officeDocument/2006/relationships/image" Target="media/imgrId887069bd53ab1cbb3.jpg"/><Relationship Id="rId912669bd53ab251b1" Type="http://schemas.openxmlformats.org/officeDocument/2006/relationships/image" Target="media/imgrId912669bd53ab251b1.jpg"/><Relationship Id="rId222669bd53ab2cd76" Type="http://schemas.openxmlformats.org/officeDocument/2006/relationships/image" Target="media/imgrId222669bd53ab2cd76.jpg"/><Relationship Id="rId839669bd53ab324a5" Type="http://schemas.openxmlformats.org/officeDocument/2006/relationships/image" Target="media/imgrId839669bd53ab324a5.jpg"/><Relationship Id="rId625669bd53ab37d71" Type="http://schemas.openxmlformats.org/officeDocument/2006/relationships/image" Target="media/imgrId625669bd53ab37d71.jpg"/><Relationship Id="rId604469bd53ab47442" Type="http://schemas.openxmlformats.org/officeDocument/2006/relationships/image" Target="media/imgrId604469bd53ab47442.png"/><Relationship Id="rId964969bd53ab4f42e" Type="http://schemas.openxmlformats.org/officeDocument/2006/relationships/image" Target="media/imgrId964969bd53ab4f42e.png"/><Relationship Id="rId703169bd53ab59bd0" Type="http://schemas.openxmlformats.org/officeDocument/2006/relationships/image" Target="media/imgrId703169bd53ab59bd0.jpg"/><Relationship Id="rId148069bd53ab5ef0d" Type="http://schemas.openxmlformats.org/officeDocument/2006/relationships/image" Target="media/imgrId148069bd53ab5ef0d.jpg"/><Relationship Id="rId369169bd53ab65d1f" Type="http://schemas.openxmlformats.org/officeDocument/2006/relationships/image" Target="media/imgrId369169bd53ab65d1f.jpg"/><Relationship Id="rId293969bd53ab6cf14" Type="http://schemas.openxmlformats.org/officeDocument/2006/relationships/image" Target="media/imgrId293969bd53ab6cf14.png"/><Relationship Id="rId236169bd53ab7a3eb" Type="http://schemas.openxmlformats.org/officeDocument/2006/relationships/image" Target="media/imgrId236169bd53ab7a3eb.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7" Type="http://schemas.openxmlformats.org/officeDocument/2006/relationships/image" Target="media/image2.png"/><Relationship Id="rId99986768" Type="http://schemas.openxmlformats.org/officeDocument/2006/relationships/image" Target="media/imgrId99986768.jpg"/></Relationships>

</file>

<file path=word/_rels/footer2.xml.rels><?xml version="1.0" encoding="UTF-8" standalone="yes"?>
<Relationships xmlns="http://schemas.openxmlformats.org/package/2006/relationships"><Relationship Id="rId17" Type="http://schemas.openxmlformats.org/officeDocument/2006/relationships/image" Target="media/image2.png"/><Relationship Id="rId99986768" Type="http://schemas.openxmlformats.org/officeDocument/2006/relationships/image" Target="media/imgrId99986768.jpg"/></Relationships>

</file>

<file path=word/_rels/footer3.xml.rels><?xml version="1.0" encoding="UTF-8" standalone="yes"?>
<Relationships xmlns="http://schemas.openxmlformats.org/package/2006/relationships"><Relationship Id="rId17" Type="http://schemas.openxmlformats.org/officeDocument/2006/relationships/image" Target="media/image2.png"/><Relationship Id="rId99986768" Type="http://schemas.openxmlformats.org/officeDocument/2006/relationships/image" Target="media/imgrId99986768.jpg"/></Relationships>

</file>

<file path=word/_rels/footer4.xml.rels><?xml version="1.0" encoding="UTF-8" standalone="yes"?>
<Relationships xmlns="http://schemas.openxmlformats.org/package/2006/relationships"><Relationship Id="rId17" Type="http://schemas.openxmlformats.org/officeDocument/2006/relationships/image" Target="media/image2.png"/><Relationship Id="rId99986768" Type="http://schemas.openxmlformats.org/officeDocument/2006/relationships/image" Target="media/imgrId99986768.jpg"/></Relationships>

</file>

<file path=word/_rels/footer5.xml.rels><?xml version="1.0" encoding="UTF-8" standalone="yes"?>
<Relationships xmlns="http://schemas.openxmlformats.org/package/2006/relationships"><Relationship Id="rId17" Type="http://schemas.openxmlformats.org/officeDocument/2006/relationships/image" Target="media/image2.png"/><Relationship Id="rId99986768" Type="http://schemas.openxmlformats.org/officeDocument/2006/relationships/image" Target="media/imgrId99986768.jpg"/></Relationships>

</file>

<file path=word/_rels/footer6.xml.rels><?xml version="1.0" encoding="UTF-8" standalone="yes"?>
<Relationships xmlns="http://schemas.openxmlformats.org/package/2006/relationships"><Relationship Id="rId17" Type="http://schemas.openxmlformats.org/officeDocument/2006/relationships/image" Target="media/image2.png"/><Relationship Id="rId99986768" Type="http://schemas.openxmlformats.org/officeDocument/2006/relationships/image" Target="media/imgrId99986768.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B7B4C"/>
    <w:rsid w:val="007C764C"/>
    <w:rsid w:val="008113C5"/>
    <w:rsid w:val="008C4FAF"/>
    <w:rsid w:val="009C2D1B"/>
    <w:rsid w:val="009F5AA7"/>
    <w:rsid w:val="00AE30E1"/>
    <w:rsid w:val="00B151A2"/>
    <w:rsid w:val="00B8515A"/>
    <w:rsid w:val="00BB26C4"/>
    <w:rsid w:val="00C60EC8"/>
    <w:rsid w:val="00CA10A3"/>
    <w:rsid w:val="00CF1E6A"/>
    <w:rsid w:val="00D918BF"/>
    <w:rsid w:val="00DA3308"/>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253</TotalTime>
  <Pages>6</Pages>
  <Words>71</Words>
  <Characters>411</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25</cp:revision>
  <dcterms:created xsi:type="dcterms:W3CDTF">2018-11-13T09:11:00Z</dcterms:created>
  <dcterms:modified xsi:type="dcterms:W3CDTF">2025-09-22T13:51:00Z</dcterms:modified>
</cp:coreProperties>
</file>