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M-MP Owner Manual (Rev.01)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4732403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6700970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ED0053030860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05.1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02/2016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C. TAGLIAVINI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0415831" w:name="ctxt"/>
    <w:bookmarkEnd w:id="20415831"/>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br/>
              <w:t xml:space="preserve">TECHNICAL DATA</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br/>
              <w:t xml:space="preserve">UNIT</w:t>
            </w:r>
            <w:r>
              <w:rPr>
                <w:b/>
                <w:bCs/>
                <w:color w:val="FFFFFF"/>
                <w:position w:val="-2"/>
                <w:sz w:val="20"/>
                <w:szCs w:val="20"/>
                <w:u w:val="none"/>
                <w:shd w:val="clear" w:color="auto" w:fill="00274C"/>
              </w:rPr>
              <w:br/>
              <w:t xml:space="preserve">OF MEASURE</w:t>
            </w:r>
          </w:p>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38"/>
              </w:rPr>
              <w:drawing>
                <wp:inline distT="0" distB="0" distL="0" distR="0">
                  <wp:extent cx="720000" cy="554400"/>
                  <wp:effectExtent b="0" l="0" r="0" t="0"/>
                  <wp:docPr id="15595068" name="name964969ca5fa6a5dd4" descr="2504m_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4m_mp.jpg"/>
                          <pic:cNvPicPr/>
                        </pic:nvPicPr>
                        <pic:blipFill>
                          <a:blip r:embed="rId628269ca5fa6a5dcf" cstate="print"/>
                          <a:stretch>
                            <a:fillRect/>
                          </a:stretch>
                        </pic:blipFill>
                        <pic:spPr>
                          <a:xfrm>
                            <a:off x="0" y="0"/>
                            <a:ext cx="720000" cy="554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M-MP</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 </w:t>
            </w:r>
            <w:bookmarkStart w:id="74561519" w:name="result_box"/>
            <w:bookmarkEnd w:id="74561519"/>
            <w:r>
              <w:rPr>
                <w:color w:val="00274C"/>
                <w:position w:val="-2"/>
                <w:sz w:val="20"/>
                <w:szCs w:val="20"/>
                <w:u w:val="none"/>
                <w:shd w:val="clear" w:color="auto" w:fill="E1E2E0"/>
              </w:rPr>
              <w:t xml:space="preserve">transversal)</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 MAX (longitudinal)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 - with TMC 260 reversing gear</w:t>
      </w:r>
    </w:p>
    <w:p>
      <w:pPr>
        <w:widowControl w:val="on"/>
        <w:pBdr/>
        <w:spacing w:before="225" w:after="225" w:line="262" w:lineRule="auto"/>
        <w:ind w:left="0" w:right="0"/>
        <w:jc w:val="left"/>
      </w:pPr>
      <w:r>
        <w:drawing>
          <wp:inline distT="0" distB="0" distL="0" distR="0">
            <wp:extent cx="4824000" cy="2851200"/>
            <wp:effectExtent b="0" l="0" r="0" t="0"/>
            <wp:docPr id="37541480" name="name314769ca5fa6b948c" descr="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1.jpg"/>
                    <pic:cNvPicPr/>
                  </pic:nvPicPr>
                  <pic:blipFill>
                    <a:blip r:embed="rId693469ca5fa6b9487" cstate="print"/>
                    <a:stretch>
                      <a:fillRect/>
                    </a:stretch>
                  </pic:blipFill>
                  <pic:spPr>
                    <a:xfrm>
                      <a:off x="0" y="0"/>
                      <a:ext cx="4824000" cy="28512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40" w:lineRule="auto"/>
        <w:ind w:left="0" w:right="0"/>
        <w:jc w:val="left"/>
      </w:pPr>
      <w:r>
        <w:rPr>
          <w:b/>
          <w:bCs/>
          <w:color w:val="00274C"/>
          <w:sz w:val="20"/>
          <w:szCs w:val="20"/>
          <w:u w:val="none"/>
        </w:rPr>
        <w:t xml:space="preserve">2.4.1 Engine oil</w:t>
      </w:r>
    </w:p>
    <w:p>
      <w:pPr>
        <w:widowControl w:val="on"/>
        <w:pBdr/>
        <w:spacing w:before="0" w:after="0" w:line="240"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874603" name="name572469ca5fa6c093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86869ca5fa6c093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2104"/>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2104"/>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2104"/>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2104"/>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2104"/>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 ( </w:t>
      </w:r>
      <w:r>
        <w:rPr>
          <w:b/>
          <w:bCs/>
          <w:color w:val="00274C"/>
          <w:sz w:val="20"/>
          <w:szCs w:val="20"/>
          <w:u w:val="none"/>
        </w:rPr>
        <w:t xml:space="preserve">Par. 2.4.1.1</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9674162" name="name635669ca5fa6c7ec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70769ca5fa6c7ec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2104"/>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2104"/>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2104"/>
        </w:numPr>
        <w:spacing w:before="0" w:after="0" w:line="240" w:lineRule="auto"/>
        <w:jc w:val="left"/>
        <w:rPr>
          <w:color w:val="00274C"/>
          <w:sz w:val="20"/>
          <w:szCs w:val="20"/>
        </w:rPr>
      </w:pPr>
      <w:r>
        <w:rPr>
          <w:color w:val="00274C"/>
          <w:sz w:val="20"/>
          <w:szCs w:val="20"/>
          <w:u w:val="none"/>
        </w:rPr>
        <w:t xml:space="preserve">For the exhausted oil disposal, refer to the </w:t>
      </w:r>
      <w:hyperlink r:id="rId728669ca5fa6c8ffa" w:history="1">
        <w:r>
          <w:rPr>
            <w:rStyle w:val="DefaultParagraphFontPHPDOCX"/>
            <w:b/>
            <w:bCs/>
            <w:color w:val="0000FF"/>
            <w:sz w:val="20"/>
            <w:szCs w:val="20"/>
            <w:u w:val="none"/>
          </w:rPr>
          <w:t xml:space="preserve">Par. 6.9</w:t>
        </w:r>
      </w:hyperlink>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2.4.1.1 SAE oil classification</w:t>
      </w:r>
    </w:p>
    <w:p>
      <w:pPr>
        <w:numPr>
          <w:ilvl w:val="0"/>
          <w:numId w:val="22104"/>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2104"/>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54475934" name="name275169ca5fa6d078a"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509169ca5fa6d0786"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10785675" name="name985369ca5fa6d8b1f"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929569ca5fa6d8b1a"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39795464" name="name502869ca5fa6dfde2"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779469ca5fa6dfdde"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15w-40</w:t>
            </w:r>
            <w:r>
              <w:rPr>
                <w:color w:val="00274C"/>
                <w:position w:val="-2"/>
                <w:sz w:val="20"/>
                <w:szCs w:val="20"/>
                <w:u w:val="none"/>
                <w:shd w:val="clear" w:color="auto" w:fill="E1E2E0"/>
              </w:rPr>
              <w:br/>
              <w:t xml:space="preserve">(+15°c ÷ +45°c)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w:t>
            </w:r>
            <w:r>
              <w:rPr>
                <w:color w:val="00274C"/>
                <w:position w:val="-2"/>
                <w:sz w:val="20"/>
                <w:szCs w:val="20"/>
                <w:u w:val="none"/>
                <w:shd w:val="clear" w:color="auto" w:fill="E1E2E0"/>
              </w:rPr>
              <w:br/>
              <w:t xml:space="preserve">(-15°c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5w-30</w:t>
            </w:r>
            <w:r>
              <w:rPr>
                <w:color w:val="00274C"/>
                <w:position w:val="-2"/>
                <w:sz w:val="20"/>
                <w:szCs w:val="20"/>
                <w:u w:val="none"/>
                <w:shd w:val="clear" w:color="auto" w:fill="E1E2E0"/>
              </w:rPr>
              <w:br/>
              <w:t xml:space="preserve">(-30°c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5w-40</w:t>
            </w:r>
            <w:r>
              <w:rPr>
                <w:color w:val="00274C"/>
                <w:position w:val="-2"/>
                <w:sz w:val="20"/>
                <w:szCs w:val="20"/>
                <w:u w:val="none"/>
                <w:shd w:val="clear" w:color="auto" w:fill="E1E2E0"/>
              </w:rPr>
              <w:br/>
              <w:t xml:space="preserve">(-30°c ÷ +45°c)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CJ4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 CJ4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E4 - E5 - E7</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CLASSIFICATION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 AREA SPECIFICATION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1 - 2 - 3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power over long distances (Euro 4 - 5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2.4.2 Reversing gear 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 Refer to the technical documentation of the reversing gear supplied with the engine.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543837" name="name779069ca5fa6eaaf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96369ca5fa6eaaf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2104"/>
        </w:numPr>
        <w:spacing w:before="0" w:after="0" w:line="240" w:lineRule="auto"/>
        <w:jc w:val="left"/>
        <w:rPr>
          <w:color w:val="00274C"/>
          <w:sz w:val="20"/>
          <w:szCs w:val="20"/>
        </w:rPr>
      </w:pPr>
      <w:r>
        <w:rPr>
          <w:color w:val="00274C"/>
          <w:sz w:val="20"/>
          <w:szCs w:val="20"/>
          <w:u w:val="none"/>
        </w:rPr>
        <w:t xml:space="preserve">Use of other types of fuel could damage the engine. Do not use dirty diesel fuel or mixtures of diesel fuel and water since this will cause serious engine faults.</w:t>
      </w:r>
    </w:p>
    <w:p>
      <w:pPr>
        <w:numPr>
          <w:ilvl w:val="0"/>
          <w:numId w:val="22104"/>
        </w:numPr>
        <w:spacing w:before="0" w:after="0" w:line="240" w:lineRule="auto"/>
        <w:jc w:val="left"/>
        <w:rPr>
          <w:color w:val="00274C"/>
          <w:sz w:val="20"/>
          <w:szCs w:val="20"/>
        </w:rPr>
      </w:pPr>
      <w:r>
        <w:rPr>
          <w:b/>
          <w:bCs/>
          <w:color w:val="00274C"/>
          <w:sz w:val="20"/>
          <w:szCs w:val="20"/>
          <w:u w:val="none"/>
        </w:rPr>
        <w:t xml:space="preserve">Any failures resulting from the use of fuels other than recommended will not be warranted.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3262027" name="name553369ca5fa7016e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50269ca5fa7016d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2104"/>
        </w:numPr>
        <w:spacing w:before="0" w:after="0" w:line="240" w:lineRule="auto"/>
        <w:jc w:val="left"/>
        <w:rPr>
          <w:color w:val="00274C"/>
          <w:sz w:val="20"/>
          <w:szCs w:val="20"/>
        </w:rPr>
      </w:pPr>
      <w:r>
        <w:rPr>
          <w:color w:val="00274C"/>
          <w:sz w:val="20"/>
          <w:szCs w:val="20"/>
          <w:u w:val="none"/>
        </w:rPr>
        <w:t xml:space="preserve">Clean fuel prevents the fuel injectors from clogging. Immediately clean up any spillage during refuelling.</w:t>
      </w:r>
    </w:p>
    <w:p>
      <w:pPr>
        <w:numPr>
          <w:ilvl w:val="0"/>
          <w:numId w:val="22104"/>
        </w:numPr>
        <w:spacing w:before="0" w:after="0" w:line="240" w:lineRule="auto"/>
        <w:jc w:val="left"/>
        <w:rPr>
          <w:color w:val="00274C"/>
          <w:sz w:val="20"/>
          <w:szCs w:val="20"/>
        </w:rPr>
      </w:pPr>
      <w:r>
        <w:rPr>
          <w:color w:val="00274C"/>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widowControl w:val="on"/>
        <w:pBdr/>
        <w:spacing w:before="0" w:after="0" w:line="262" w:lineRule="auto"/>
        <w:ind w:left="0" w:right="0"/>
        <w:jc w:val="right"/>
      </w:pPr>
      <w:r>
        <w:rPr>
          <w:b/>
          <w:bCs/>
          <w:color w:val="00274C"/>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(biodiesel content max. 7%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1-D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2-D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NATO F-54, equivalent to diesel fuel in accordance with EN 590</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or ASTM D 975 Grade 1, 2 -D S15 Arctic Diesel</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JIS K 2204 No. 1, No. 2</w:t>
            </w:r>
          </w:p>
        </w:tc>
      </w:tr>
    </w:tbl>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In a warranty case the customer must prove by a certificate from the fuel supplier that an allowed fuel was used.</w:t>
      </w:r>
    </w:p>
    <w:p>
      <w:pPr>
        <w:widowControl w:val="on"/>
        <w:pBdr/>
        <w:spacing w:before="0" w:after="0" w:line="262" w:lineRule="auto"/>
        <w:ind w:left="0" w:right="0"/>
        <w:jc w:val="left"/>
      </w:pPr>
      <w:r>
        <w:rPr>
          <w:b/>
          <w:bCs/>
          <w:i/>
          <w:iCs/>
          <w:color w:val="00274C"/>
          <w:sz w:val="20"/>
          <w:szCs w:val="20"/>
          <w:u w:val="none"/>
        </w:rPr>
        <w:br/>
        <w:t xml:space="preserve">KDI Mechanical Injection Tier 3 – Stage IIIA certified Engines (w and w/o EGR)</w:t>
      </w:r>
    </w:p>
    <w:p>
      <w:pPr>
        <w:numPr>
          <w:ilvl w:val="0"/>
          <w:numId w:val="22104"/>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500 mg/kg (ppm). Compliance with the emission requirements is guaranteed only with sulfur content up to 15 mg/kg (ppm).</w:t>
      </w:r>
      <w:r>
        <w:rPr>
          <w:color w:val="00274C"/>
          <w:sz w:val="20"/>
          <w:szCs w:val="20"/>
          <w:u w:val="none"/>
        </w:rPr>
        <w:br/>
        <w:t xml:space="preserve">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 With high fuel sulfur content fuel this may happen at 125hrs. Do not use low SAPS oils.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KDI Mechanical Injection Uncertified Engines (no EGR Engines)</w:t>
      </w:r>
    </w:p>
    <w:p>
      <w:pPr>
        <w:numPr>
          <w:ilvl w:val="0"/>
          <w:numId w:val="22104"/>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2000 mg/kg (ppm).Engines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2.5.1</w:t>
      </w:r>
      <w:r>
        <w:rPr>
          <w:color w:val="00274C"/>
          <w:sz w:val="20"/>
          <w:szCs w:val="20"/>
          <w:u w:val="none"/>
        </w:rPr>
        <w:t xml:space="preserve"> </w:t>
      </w:r>
      <w:r>
        <w:rPr>
          <w:b/>
          <w:bCs/>
          <w:color w:val="00274C"/>
          <w:sz w:val="20"/>
          <w:szCs w:val="20"/>
          <w:u w:val="none"/>
        </w:rPr>
        <w:t xml:space="preserve">Fuel for low temperatures</w:t>
      </w:r>
    </w:p>
    <w:p>
      <w:pPr>
        <w:numPr>
          <w:ilvl w:val="0"/>
          <w:numId w:val="22104"/>
        </w:numPr>
        <w:spacing w:before="0" w:after="0" w:line="240" w:lineRule="auto"/>
        <w:jc w:val="left"/>
        <w:rPr>
          <w:color w:val="00274C"/>
          <w:sz w:val="20"/>
          <w:szCs w:val="20"/>
        </w:rPr>
      </w:pPr>
      <w:r>
        <w:rPr>
          <w:color w:val="00274C"/>
          <w:sz w:val="20"/>
          <w:szCs w:val="20"/>
          <w:u w:val="none"/>
        </w:rPr>
        <w:br/>
        <w:t xml:space="preserve">When operating the engine in ambient temperatures lower than 0 degrees C, use suitable low temperature fuel normally available from fuel distributors and corresponding to the specifications of </w:t>
      </w:r>
      <w:r>
        <w:rPr>
          <w:b/>
          <w:bCs/>
          <w:color w:val="00274C"/>
          <w:sz w:val="20"/>
          <w:szCs w:val="20"/>
          <w:u w:val="none"/>
        </w:rPr>
        <w:t xml:space="preserve">Tab. 2.3</w:t>
      </w:r>
      <w:r>
        <w:rPr>
          <w:color w:val="00274C"/>
          <w:sz w:val="20"/>
          <w:szCs w:val="20"/>
          <w:u w:val="none"/>
        </w:rPr>
        <w:t xml:space="preserve"> .</w:t>
      </w:r>
    </w:p>
    <w:p>
      <w:pPr>
        <w:numPr>
          <w:ilvl w:val="0"/>
          <w:numId w:val="22104"/>
        </w:numPr>
        <w:spacing w:before="0" w:after="0" w:line="240" w:lineRule="auto"/>
        <w:jc w:val="left"/>
        <w:rPr>
          <w:color w:val="00274C"/>
          <w:sz w:val="20"/>
          <w:szCs w:val="20"/>
        </w:rPr>
      </w:pPr>
      <w:r>
        <w:rPr>
          <w:color w:val="00274C"/>
          <w:sz w:val="20"/>
          <w:szCs w:val="20"/>
          <w:u w:val="none"/>
        </w:rPr>
        <w:t xml:space="preserve">These fuels reduce the formation of paraffin in diesel at low temperatures.</w:t>
      </w:r>
    </w:p>
    <w:p>
      <w:pPr>
        <w:numPr>
          <w:ilvl w:val="0"/>
          <w:numId w:val="22104"/>
        </w:numPr>
        <w:spacing w:before="0" w:after="0" w:line="240" w:lineRule="auto"/>
        <w:jc w:val="left"/>
        <w:rPr>
          <w:color w:val="00274C"/>
          <w:sz w:val="20"/>
          <w:szCs w:val="20"/>
        </w:rPr>
      </w:pPr>
      <w:r>
        <w:rPr>
          <w:color w:val="00274C"/>
          <w:sz w:val="20"/>
          <w:szCs w:val="20"/>
          <w:u w:val="none"/>
        </w:rPr>
        <w:t xml:space="preserve">When paraffin forms in the diesel, the fuel filter becomes blocked interrupting the flow of 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2.5.2</w:t>
      </w:r>
      <w:r>
        <w:rPr>
          <w:b/>
          <w:bCs/>
          <w:color w:val="00274C"/>
          <w:sz w:val="20"/>
          <w:szCs w:val="20"/>
          <w:u w:val="none"/>
        </w:rPr>
        <w:t xml:space="preserve"> Biodiesel fuel</w:t>
      </w:r>
    </w:p>
    <w:p>
      <w:pPr>
        <w:numPr>
          <w:ilvl w:val="0"/>
          <w:numId w:val="22104"/>
        </w:numPr>
        <w:spacing w:before="0" w:after="0" w:line="240" w:lineRule="auto"/>
        <w:jc w:val="left"/>
        <w:rPr>
          <w:color w:val="00274C"/>
          <w:sz w:val="20"/>
          <w:szCs w:val="20"/>
        </w:rPr>
      </w:pPr>
      <w:r>
        <w:rPr>
          <w:color w:val="00274C"/>
          <w:sz w:val="20"/>
          <w:szCs w:val="20"/>
          <w:u w:val="none"/>
        </w:rPr>
        <w:t xml:space="preserve">Fuels containing 10% methyl ester or B10, are suitable for use in this engine provided that they meet the specifications listed in the Tab. 2.3.</w:t>
      </w:r>
    </w:p>
    <w:p>
      <w:pPr>
        <w:numPr>
          <w:ilvl w:val="0"/>
          <w:numId w:val="22104"/>
        </w:numPr>
        <w:spacing w:before="0" w:after="0" w:line="240" w:lineRule="auto"/>
        <w:jc w:val="left"/>
        <w:rPr>
          <w:color w:val="00274C"/>
          <w:sz w:val="20"/>
          <w:szCs w:val="20"/>
        </w:rPr>
      </w:pPr>
      <w:r>
        <w:rPr>
          <w:b/>
          <w:bCs/>
          <w:color w:val="00274C"/>
          <w:sz w:val="20"/>
          <w:szCs w:val="20"/>
          <w:u w:val="none"/>
        </w:rPr>
        <w:t xml:space="preserve">DO NOT USE</w:t>
      </w:r>
      <w:r>
        <w:rPr>
          <w:color w:val="00274C"/>
          <w:sz w:val="20"/>
          <w:szCs w:val="20"/>
          <w:u w:val="none"/>
        </w:rPr>
        <w:t xml:space="preserve"> vegetable oil as a biofuel for this engine.</w:t>
      </w:r>
    </w:p>
    <w:p>
      <w:pPr>
        <w:widowControl w:val="on"/>
        <w:pBdr/>
        <w:spacing w:before="0" w:after="0" w:line="262" w:lineRule="auto"/>
        <w:ind w:left="0" w:right="0"/>
        <w:jc w:val="right"/>
      </w:pPr>
      <w:r>
        <w:rPr>
          <w:b/>
          <w:bCs/>
          <w:color w:val="00274C"/>
          <w:sz w:val="20"/>
          <w:szCs w:val="20"/>
          <w:u w:val="none"/>
        </w:rPr>
        <w:t xml:space="preserve">2.4</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BIODIESEL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Biodiesel according to EN 14214 (only permissible for mixture with diesel fuel at max. 10%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US biodiesel according to ASTM D6751 – 09a (B100) (only permissible for mixtures with diesel fuel at 10% (V/V))</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2.5.3</w:t>
      </w:r>
      <w:r>
        <w:rPr>
          <w:b/>
          <w:bCs/>
          <w:color w:val="00274C"/>
          <w:sz w:val="20"/>
          <w:szCs w:val="20"/>
          <w:u w:val="none"/>
        </w:rPr>
        <w:t xml:space="preserve"> Synthetic fuels: GTL, CTL, BTL, HV</w:t>
      </w:r>
      <w:r>
        <w:rPr>
          <w:color w:val="00274C"/>
          <w:sz w:val="20"/>
          <w:szCs w:val="20"/>
          <w:u w:val="none"/>
        </w:rPr>
        <w:br/>
        <w:t xml:space="preserve"> It is a well-known fact that engines which are operated for longer periods with conventional diesel fuel and then converted to synthetic fuels suffer shrinkage of polymer seals in the injection system and thus fuel leaks. The reason for this behavior is that the aromatic-free synthetic fuels can lead to a change in the selling behavior of polymer seals.</w:t>
      </w:r>
      <w:r>
        <w:rPr>
          <w:color w:val="00274C"/>
          <w:sz w:val="20"/>
          <w:szCs w:val="20"/>
          <w:u w:val="none"/>
        </w:rPr>
        <w:br/>
        <w:t xml:space="preserve">Therefore, conversion from diesel fuel to synthetic fuel may only be done after changing the critical seals. The problem of shrinkage does not occur when an engine was operated with synthetic fuel from the start. </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2.5.4</w:t>
      </w:r>
      <w:r>
        <w:rPr>
          <w:b/>
          <w:bCs/>
          <w:color w:val="00274C"/>
          <w:sz w:val="20"/>
          <w:szCs w:val="20"/>
          <w:u w:val="none"/>
        </w:rPr>
        <w:t xml:space="preserve"> Non-Road Fuels</w:t>
      </w:r>
    </w:p>
    <w:p>
      <w:pPr>
        <w:widowControl w:val="on"/>
        <w:pBdr/>
        <w:spacing w:before="0" w:after="0" w:line="262" w:lineRule="auto"/>
        <w:ind w:left="0" w:right="0"/>
        <w:jc w:val="left"/>
      </w:pPr>
      <w:r>
        <w:rPr>
          <w:color w:val="00274C"/>
          <w:sz w:val="20"/>
          <w:szCs w:val="20"/>
          <w:u w:val="none"/>
        </w:rPr>
        <w:br/>
        <w:t xml:space="preserve">Other non-road fuels may be used if they comply with all the limit values of EN 590 except for the fuel density, the cetane number and the sulfur content.</w:t>
      </w:r>
      <w:r>
        <w:rPr>
          <w:color w:val="00274C"/>
          <w:sz w:val="20"/>
          <w:szCs w:val="20"/>
          <w:u w:val="none"/>
        </w:rPr>
        <w:br/>
        <w:t xml:space="preserve">The following limits apply for these parameters:</w:t>
      </w:r>
    </w:p>
    <w:p>
      <w:pPr>
        <w:widowControl w:val="on"/>
        <w:pBdr/>
        <w:spacing w:before="0" w:after="0" w:line="262" w:lineRule="auto"/>
        <w:ind w:left="0" w:right="0"/>
        <w:jc w:val="right"/>
      </w:pPr>
      <w:r>
        <w:rPr>
          <w:b/>
          <w:bCs/>
          <w:color w:val="00274C"/>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PARAMETER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LIMIT 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Cetane number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Min. 49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density at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820 - 860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Sulfur content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 or 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500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2.5.5</w:t>
      </w:r>
      <w:r>
        <w:rPr>
          <w:b/>
          <w:bCs/>
          <w:color w:val="00274C"/>
          <w:sz w:val="20"/>
          <w:szCs w:val="20"/>
          <w:u w:val="none"/>
        </w:rPr>
        <w:t xml:space="preserve"> Jet Fuels</w:t>
      </w:r>
      <w:r>
        <w:rPr>
          <w:color w:val="00274C"/>
          <w:sz w:val="20"/>
          <w:szCs w:val="20"/>
          <w:u w:val="none"/>
        </w:rPr>
        <w:br/>
        <w:t xml:space="preserve"> </w:t>
      </w:r>
      <w:r>
        <w:rPr>
          <w:i/>
          <w:iCs/>
          <w:color w:val="00274C"/>
          <w:sz w:val="20"/>
          <w:szCs w:val="20"/>
          <w:u w:val="none"/>
        </w:rPr>
        <w:t xml:space="preserve">Only for KDI Mechanical Injection Uncertified Engines (no EGR Engines).</w:t>
      </w:r>
      <w:r>
        <w:rPr>
          <w:color w:val="00274C"/>
          <w:sz w:val="20"/>
          <w:szCs w:val="20"/>
          <w:u w:val="none"/>
        </w:rPr>
        <w:br/>
        <w:t xml:space="preserve">The following jet fuels can be used but only adopting an additional fuel filter with lubricity doser:</w:t>
      </w:r>
    </w:p>
    <w:p>
      <w:pPr>
        <w:widowControl w:val="on"/>
        <w:pBdr/>
        <w:spacing w:before="0" w:after="0" w:line="262" w:lineRule="auto"/>
        <w:ind w:left="0" w:right="0"/>
        <w:jc w:val="right"/>
      </w:pPr>
      <w:r>
        <w:rPr>
          <w:b/>
          <w:bCs/>
          <w:color w:val="00274C"/>
          <w:sz w:val="20"/>
          <w:szCs w:val="20"/>
          <w:u w:val="none"/>
        </w:rPr>
        <w:t xml:space="preserve">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F-34/F-35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JP-8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F-44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JP-5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F-63 (kerosene, NATO designation, equivalent to F-34/F-35 with additives)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 (kerosene for civil aviation)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F-65 (kerosene, NATO designation, 1:1 mixture of F-54 and F-34/F-35)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A1 (kerosene for civil aviation)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2.5.6 Emission-Related Installation Instructions</w:t>
      </w:r>
      <w:r>
        <w:rPr>
          <w:color w:val="00274C"/>
          <w:sz w:val="20"/>
          <w:szCs w:val="20"/>
          <w:u w:val="none"/>
        </w:rPr>
        <w:t xml:space="preserve"> Failing to follow the instructions in the applications guidebook when installing a certified engine in a piece of nonroad equipment violates federal law (40 CFR 1068.105(b)), subject to fines or other penalties as described in the Clean Air Act.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OEM must apply a separate label with the following statement: “ULTRA LOW SULFUR FUEL ONLY” near the fuel inlet.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74759403" name="name201869ca5fa7160f8"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20269ca5fa7160f2"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KSD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2104"/>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2104"/>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0398737" name="name691269ca5fa71d6f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05669ca5fa71d6f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2104"/>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2104"/>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5 years or 4000hrs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2.5</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2.6</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Panel ignition switch with key switch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on/off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 indicator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Maintenance errors reset push button</w:t>
                  </w:r>
                </w:p>
              </w:tc>
            </w:tr>
          </w:tbl>
          <w:p/>
        </w:tc>
        <w:tc>
          <w:tcPr>
            <w:tcW w:w="0" w:type="auto"/>
            <w:tcMar>
              <w:top w:w="150" w:type="dxa"/>
              <w:left w:w="150" w:type="dxa"/>
              <w:bottom w:w="150" w:type="dxa"/>
              <w:right w:w="150" w:type="dxa"/>
            </w:tcMar>
            <w:vAlign w:val="top"/>
          </w:tcPr>
          <w:p>
            <w:r>
              <w:rPr>
                <w:position w:val="-232"/>
              </w:rPr>
              <w:drawing>
                <wp:inline distT="0" distB="0" distL="0" distR="0">
                  <wp:extent cx="2232000" cy="1519200"/>
                  <wp:effectExtent b="0" l="0" r="0" t="0"/>
                  <wp:docPr id="76842383" name="name312669ca5fa72ce92"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144169ca5fa72ce8c" cstate="print"/>
                          <a:stretch>
                            <a:fillRect/>
                          </a:stretch>
                        </pic:blipFill>
                        <pic:spPr>
                          <a:xfrm>
                            <a:off x="0" y="0"/>
                            <a:ext cx="2232000" cy="1519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2.2</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Tab. 2.7</w:t>
            </w:r>
            <w:r>
              <w:rPr>
                <w:color w:val="00274C"/>
                <w:position w:val="-2"/>
                <w:sz w:val="20"/>
                <w:szCs w:val="20"/>
                <w:u w:val="none"/>
              </w:rPr>
              <w:t xml:space="preserve"> shows data that can be consulted on display </w:t>
            </w:r>
            <w:r>
              <w:rPr>
                <w:b/>
                <w:bCs/>
                <w:color w:val="00274C"/>
                <w:position w:val="-2"/>
                <w:sz w:val="20"/>
                <w:szCs w:val="20"/>
                <w:u w:val="none"/>
              </w:rPr>
              <w:t xml:space="preserve">D</w:t>
            </w:r>
            <w:r>
              <w:rPr>
                <w:color w:val="00274C"/>
                <w:position w:val="-2"/>
                <w:sz w:val="20"/>
                <w:szCs w:val="20"/>
                <w:u w:val="none"/>
              </w:rPr>
              <w:t xml:space="preserve"> by pressing push button </w:t>
            </w:r>
            <w:r>
              <w:rPr>
                <w:b/>
                <w:bCs/>
                <w:color w:val="00274C"/>
                <w:position w:val="-2"/>
                <w:sz w:val="20"/>
                <w:szCs w:val="20"/>
                <w:u w:val="none"/>
              </w:rPr>
              <w:t xml:space="preserve">E</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7"/>
                    </w:rPr>
                    <w:drawing>
                      <wp:inline distT="0" distB="0" distL="0" distR="0">
                        <wp:extent cx="576000" cy="410400"/>
                        <wp:effectExtent b="0" l="0" r="0" t="0"/>
                        <wp:docPr id="45064862" name="name875769ca5fa736254" desc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342669ca5fa73624e" cstate="print"/>
                                <a:stretch>
                                  <a:fillRect/>
                                </a:stretch>
                              </pic:blipFill>
                              <pic:spPr>
                                <a:xfrm>
                                  <a:off x="0" y="0"/>
                                  <a:ext cx="576000" cy="4104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 </w:t>
                  </w:r>
                  <w:r>
                    <w:rPr>
                      <w:b/>
                      <w:bCs/>
                      <w:color w:val="00274C"/>
                      <w:position w:val="-2"/>
                      <w:sz w:val="20"/>
                      <w:szCs w:val="20"/>
                      <w:u w:val="none"/>
                      <w:shd w:val="clear" w:color="auto" w:fill="E1E2E0"/>
                    </w:rPr>
                    <w:t xml:space="preserve">°C</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18766710" name="name833169ca5fa73dcb7" desc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972769ca5fa73dcb2"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pressure ( </w:t>
                  </w:r>
                  <w:r>
                    <w:rPr>
                      <w:b/>
                      <w:bCs/>
                      <w:color w:val="00274C"/>
                      <w:position w:val="-2"/>
                      <w:sz w:val="20"/>
                      <w:szCs w:val="20"/>
                      <w:u w:val="none"/>
                      <w:shd w:val="clear" w:color="auto" w:fill="E1E2E0"/>
                    </w:rPr>
                    <w:t xml:space="preserve">bar</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33098166" name="name632969ca5fa749f5e"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90069ca5fa749f58"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Battery voltage ( </w:t>
                  </w:r>
                  <w:r>
                    <w:rPr>
                      <w:b/>
                      <w:bCs/>
                      <w:color w:val="00274C"/>
                      <w:position w:val="-2"/>
                      <w:sz w:val="20"/>
                      <w:szCs w:val="20"/>
                      <w:u w:val="none"/>
                      <w:shd w:val="clear" w:color="auto" w:fill="E1E2E0"/>
                    </w:rPr>
                    <w:t xml:space="preserve">V</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17030384" name="name590969ca5fa754945" desc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338269ca5fa754940"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Total and partial hours of operation </w:t>
                  </w:r>
                  <w:r>
                    <w:rPr>
                      <w:i/>
                      <w:i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p>
                  <w:pPr>
                    <w:numPr>
                      <w:ilvl w:val="0"/>
                      <w:numId w:val="22104"/>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To reset partial hours, simultaneously press push buttons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and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r>
                    <w:rPr>
                      <w:color w:val="00274C"/>
                      <w:position w:val="-2"/>
                      <w:sz w:val="20"/>
                      <w:szCs w:val="20"/>
                      <w:u w:val="none"/>
                      <w:shd w:val="clear" w:color="auto" w:fill="E1E2E0"/>
                    </w:rPr>
                    <w:t xml:space="preserve"> </w:t>
                  </w:r>
                  <w:r>
                    <w:rPr>
                      <w:i/>
                      <w:iCs/>
                      <w:color w:val="00274C"/>
                      <w:position w:val="-2"/>
                      <w:sz w:val="20"/>
                      <w:szCs w:val="20"/>
                      <w:u w:val="none"/>
                      <w:shd w:val="clear" w:color="auto" w:fill="E1E2E0"/>
                    </w:rPr>
                    <w:t xml:space="preser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46588463" name="name371969ca5fa760161" desc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jpg"/>
                                <pic:cNvPicPr/>
                              </pic:nvPicPr>
                              <pic:blipFill>
                                <a:blip r:embed="rId317169ca5fa76015c"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 (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58633158" name="name389969ca5fa767cea" descr="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jpg"/>
                                <pic:cNvPicPr/>
                              </pic:nvPicPr>
                              <pic:blipFill>
                                <a:blip r:embed="rId946169ca5fa767ce3"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Backlighting adjustment</w:t>
                  </w:r>
                </w:p>
                <w:p>
                  <w:pPr>
                    <w:numPr>
                      <w:ilvl w:val="0"/>
                      <w:numId w:val="22104"/>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p>
                <w:p>
                  <w:pPr>
                    <w:numPr>
                      <w:ilvl w:val="0"/>
                      <w:numId w:val="22104"/>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to decrease brightness or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to increase it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2105">
    <w:multiLevelType w:val="hybridMultilevel"/>
    <w:lvl w:ilvl="0" w:tplc="79506472">
      <w:start w:val="1"/>
      <w:numFmt w:val="decimal"/>
      <w:lvlText w:val="%1."/>
      <w:lvlJc w:val="left"/>
      <w:pPr>
        <w:ind w:left="720" w:hanging="360"/>
      </w:pPr>
    </w:lvl>
    <w:lvl w:ilvl="1" w:tplc="79506472" w:tentative="1">
      <w:start w:val="1"/>
      <w:numFmt w:val="lowerLetter"/>
      <w:lvlText w:val="%2."/>
      <w:lvlJc w:val="left"/>
      <w:pPr>
        <w:ind w:left="1440" w:hanging="360"/>
      </w:pPr>
    </w:lvl>
    <w:lvl w:ilvl="2" w:tplc="79506472" w:tentative="1">
      <w:start w:val="1"/>
      <w:numFmt w:val="lowerRoman"/>
      <w:lvlText w:val="%3."/>
      <w:lvlJc w:val="right"/>
      <w:pPr>
        <w:ind w:left="2160" w:hanging="180"/>
      </w:pPr>
    </w:lvl>
    <w:lvl w:ilvl="3" w:tplc="79506472" w:tentative="1">
      <w:start w:val="1"/>
      <w:numFmt w:val="decimal"/>
      <w:lvlText w:val="%4."/>
      <w:lvlJc w:val="left"/>
      <w:pPr>
        <w:ind w:left="2880" w:hanging="360"/>
      </w:pPr>
    </w:lvl>
    <w:lvl w:ilvl="4" w:tplc="79506472" w:tentative="1">
      <w:start w:val="1"/>
      <w:numFmt w:val="lowerLetter"/>
      <w:lvlText w:val="%5."/>
      <w:lvlJc w:val="left"/>
      <w:pPr>
        <w:ind w:left="3600" w:hanging="360"/>
      </w:pPr>
    </w:lvl>
    <w:lvl w:ilvl="5" w:tplc="79506472" w:tentative="1">
      <w:start w:val="1"/>
      <w:numFmt w:val="lowerRoman"/>
      <w:lvlText w:val="%6."/>
      <w:lvlJc w:val="right"/>
      <w:pPr>
        <w:ind w:left="4320" w:hanging="180"/>
      </w:pPr>
    </w:lvl>
    <w:lvl w:ilvl="6" w:tplc="79506472" w:tentative="1">
      <w:start w:val="1"/>
      <w:numFmt w:val="decimal"/>
      <w:lvlText w:val="%7."/>
      <w:lvlJc w:val="left"/>
      <w:pPr>
        <w:ind w:left="5040" w:hanging="360"/>
      </w:pPr>
    </w:lvl>
    <w:lvl w:ilvl="7" w:tplc="79506472" w:tentative="1">
      <w:start w:val="1"/>
      <w:numFmt w:val="lowerLetter"/>
      <w:lvlText w:val="%8."/>
      <w:lvlJc w:val="left"/>
      <w:pPr>
        <w:ind w:left="5760" w:hanging="360"/>
      </w:pPr>
    </w:lvl>
    <w:lvl w:ilvl="8" w:tplc="79506472" w:tentative="1">
      <w:start w:val="1"/>
      <w:numFmt w:val="lowerRoman"/>
      <w:lvlText w:val="%9."/>
      <w:lvlJc w:val="right"/>
      <w:pPr>
        <w:ind w:left="6480" w:hanging="180"/>
      </w:pPr>
    </w:lvl>
  </w:abstractNum>
  <w:abstractNum w:abstractNumId="22104">
    <w:multiLevelType w:val="hybridMultilevel"/>
    <w:lvl w:ilvl="0" w:tplc="487541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2104">
    <w:abstractNumId w:val="22104"/>
  </w:num>
  <w:num w:numId="22105">
    <w:abstractNumId w:val="22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2948806" Type="http://schemas.openxmlformats.org/officeDocument/2006/relationships/comments" Target="comments.xml"/><Relationship Id="rId721022506" Type="http://schemas.microsoft.com/office/2011/relationships/commentsExtended" Target="commentsExtended.xml"/><Relationship Id="rId67009702" Type="http://schemas.openxmlformats.org/officeDocument/2006/relationships/image" Target="media/imgrId67009702.jpg"/><Relationship Id="rId728669ca5fa6c8ffa" Type="http://schemas.openxmlformats.org/officeDocument/2006/relationships/hyperlink" Target="https://iservice.lombardini.it/jsp/Template2/manuale.jsp?id=250&amp;parent=1604" TargetMode="External"/><Relationship Id="rId628269ca5fa6a5dcf" Type="http://schemas.openxmlformats.org/officeDocument/2006/relationships/image" Target="media/imgrId628269ca5fa6a5dcf.jpg"/><Relationship Id="rId693469ca5fa6b9487" Type="http://schemas.openxmlformats.org/officeDocument/2006/relationships/image" Target="media/imgrId693469ca5fa6b9487.jpg"/><Relationship Id="rId786869ca5fa6c0939" Type="http://schemas.openxmlformats.org/officeDocument/2006/relationships/image" Target="media/imgrId786869ca5fa6c0939.jpg"/><Relationship Id="rId970769ca5fa6c7ec1" Type="http://schemas.openxmlformats.org/officeDocument/2006/relationships/image" Target="media/imgrId970769ca5fa6c7ec1.jpg"/><Relationship Id="rId509169ca5fa6d0786" Type="http://schemas.openxmlformats.org/officeDocument/2006/relationships/image" Target="media/imgrId509169ca5fa6d0786.jpg"/><Relationship Id="rId929569ca5fa6d8b1a" Type="http://schemas.openxmlformats.org/officeDocument/2006/relationships/image" Target="media/imgrId929569ca5fa6d8b1a.jpg"/><Relationship Id="rId779469ca5fa6dfdde" Type="http://schemas.openxmlformats.org/officeDocument/2006/relationships/image" Target="media/imgrId779469ca5fa6dfdde.jpg"/><Relationship Id="rId796369ca5fa6eaaf3" Type="http://schemas.openxmlformats.org/officeDocument/2006/relationships/image" Target="media/imgrId796369ca5fa6eaaf3.jpg"/><Relationship Id="rId450269ca5fa7016db" Type="http://schemas.openxmlformats.org/officeDocument/2006/relationships/image" Target="media/imgrId450269ca5fa7016db.jpg"/><Relationship Id="rId820269ca5fa7160f2" Type="http://schemas.openxmlformats.org/officeDocument/2006/relationships/image" Target="media/imgrId820269ca5fa7160f2.jpg"/><Relationship Id="rId805669ca5fa71d6fa" Type="http://schemas.openxmlformats.org/officeDocument/2006/relationships/image" Target="media/imgrId805669ca5fa71d6fa.png"/><Relationship Id="rId144169ca5fa72ce8c" Type="http://schemas.openxmlformats.org/officeDocument/2006/relationships/image" Target="media/imgrId144169ca5fa72ce8c.jpg"/><Relationship Id="rId342669ca5fa73624e" Type="http://schemas.openxmlformats.org/officeDocument/2006/relationships/image" Target="media/imgrId342669ca5fa73624e.jpg"/><Relationship Id="rId972769ca5fa73dcb2" Type="http://schemas.openxmlformats.org/officeDocument/2006/relationships/image" Target="media/imgrId972769ca5fa73dcb2.jpg"/><Relationship Id="rId490069ca5fa749f58" Type="http://schemas.openxmlformats.org/officeDocument/2006/relationships/image" Target="media/imgrId490069ca5fa749f58.jpg"/><Relationship Id="rId338269ca5fa754940" Type="http://schemas.openxmlformats.org/officeDocument/2006/relationships/image" Target="media/imgrId338269ca5fa754940.jpg"/><Relationship Id="rId317169ca5fa76015c" Type="http://schemas.openxmlformats.org/officeDocument/2006/relationships/image" Target="media/imgrId317169ca5fa76015c.jpg"/><Relationship Id="rId946169ca5fa767ce3" Type="http://schemas.openxmlformats.org/officeDocument/2006/relationships/image" Target="media/imgrId946169ca5fa767ce3.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67009702" Type="http://schemas.openxmlformats.org/officeDocument/2006/relationships/image" Target="media/imgrId67009702.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67009702" Type="http://schemas.openxmlformats.org/officeDocument/2006/relationships/image" Target="media/imgrId67009702.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67009702" Type="http://schemas.openxmlformats.org/officeDocument/2006/relationships/image" Target="media/imgrId67009702.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67009702" Type="http://schemas.openxmlformats.org/officeDocument/2006/relationships/image" Target="media/imgrId67009702.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67009702" Type="http://schemas.openxmlformats.org/officeDocument/2006/relationships/image" Target="media/imgrId67009702.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67009702" Type="http://schemas.openxmlformats.org/officeDocument/2006/relationships/image" Target="media/imgrId6700970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