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KDW 502 | 702 | 1003 | 1404 - K-HEM 1003 (Rev. 03.3)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2775886" w:name="ctxt"/>
    <w:bookmarkEnd w:id="2277588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soupapes par cylindre;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indirecte.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686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1372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filtre à huile inclus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sans filtre à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carter huile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surdimensionné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Z</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562.35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Y1* = </w:t>
            </w:r>
            <w:r>
              <w:rPr>
                <w:color w:val="00274C"/>
                <w:position w:val="-2"/>
                <w:sz w:val="20"/>
                <w:szCs w:val="20"/>
                <w:u w:val="none"/>
              </w:rPr>
              <w:t xml:space="preserve"> </w:t>
            </w:r>
            <w:r>
              <w:rPr>
                <w:b/>
                <w:bCs/>
                <w:color w:val="00274C"/>
                <w:position w:val="-2"/>
                <w:sz w:val="20"/>
                <w:szCs w:val="20"/>
                <w:u w:val="none"/>
              </w:rPr>
              <w:t xml:space="preserve">Carter huile surdimensionné</w:t>
            </w:r>
          </w:p>
          <w:p/>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Les cotes d'encombrement varient en fonction de la configuration du moteur.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970"/>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5970"/>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5970"/>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5970"/>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5970"/>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970"/>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5970"/>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5970"/>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5970"/>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5970"/>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Utilisez la viscosité de l'huile en fonction de la plage de températures de l'air rencontrée pendant la période entre les vidanges d'huile, comme indiqué dans le tableau ci-dessous.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L'huile </w:t>
      </w:r>
      <w:r>
        <w:rPr>
          <w:b/>
          <w:bCs/>
          <w:color w:val="00274C"/>
          <w:sz w:val="20"/>
          <w:szCs w:val="20"/>
          <w:u w:val="none"/>
        </w:rPr>
        <w:t xml:space="preserve">Rehlko X-treme 5W-40</w:t>
      </w:r>
      <w:r>
        <w:rPr>
          <w:color w:val="00274C"/>
          <w:sz w:val="20"/>
          <w:szCs w:val="20"/>
          <w:u w:val="none"/>
        </w:rPr>
        <w:t xml:space="preserve"> est préférable:</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Les huiles répondant aux spécifications suivantes sont également recommandées.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SJ/CF 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A3-96</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B3-96</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MIL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L-46152 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+40°C)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5970"/>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5970"/>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5970"/>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5970"/>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à réglementation stricte (UE, États-Unis, Canada, Japon, Chine, Inde)</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UE EN 590</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Amérique du Nord ASTM D975 n° 2-D S15 ; n° 1-D S15</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Japon JIS K 2204 n° 1 ; n° 2</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Inde BS-V ULSD ; BS-VI ULSD</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Chine GB 19147-2016 ULSD GB 17691—2018 ULSD</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HVO EN 15940 ou ASTM D975</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Carburant militaire OTAN F-54 S &lt; 10 ppm</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non réglementés ou soumis à des normes moins strictes (Reste du monde et applications militaires)</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Équivalent aux spécifications ci-dessus</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500 ppm</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2 000 ppm</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F-34/F-35 (Kérosène, désignation OTAN) </w:t>
            </w:r>
            <w:r>
              <w:rPr>
                <w:b/>
                <w:bCs/>
                <w:color w:val="00274C"/>
                <w:position w:val="-2"/>
                <w:sz w:val="20"/>
                <w:szCs w:val="20"/>
                <w:u w:val="none"/>
              </w:rPr>
              <w:t xml:space="preserve">(1)</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F-44 (Kérosène, désignation OTAN) </w:t>
            </w:r>
            <w:r>
              <w:rPr>
                <w:b/>
                <w:bCs/>
                <w:color w:val="00274C"/>
                <w:position w:val="-2"/>
                <w:sz w:val="20"/>
                <w:szCs w:val="20"/>
                <w:u w:val="none"/>
              </w:rPr>
              <w:t xml:space="preserve">(1)</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F-63 (Kérosène, désignation OTAN, équivalent au F-34/F-35 avec additifs) </w:t>
            </w:r>
            <w:r>
              <w:rPr>
                <w:b/>
                <w:bCs/>
                <w:color w:val="00274C"/>
                <w:position w:val="-2"/>
                <w:sz w:val="20"/>
                <w:szCs w:val="20"/>
                <w:u w:val="none"/>
              </w:rPr>
              <w:t xml:space="preserve">(1)</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JP-8 (Kérosène, désignation militaire américaine) </w:t>
            </w:r>
            <w:r>
              <w:rPr>
                <w:b/>
                <w:bCs/>
                <w:color w:val="00274C"/>
                <w:position w:val="-2"/>
                <w:sz w:val="20"/>
                <w:szCs w:val="20"/>
                <w:u w:val="none"/>
              </w:rPr>
              <w:t xml:space="preserve">(1)</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JP-5 (Kérosène, désignation militaire américaine) </w:t>
            </w:r>
            <w:r>
              <w:rPr>
                <w:b/>
                <w:bCs/>
                <w:color w:val="00274C"/>
                <w:position w:val="-2"/>
                <w:sz w:val="20"/>
                <w:szCs w:val="20"/>
                <w:u w:val="none"/>
              </w:rPr>
              <w:t xml:space="preserve">(1)</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Jet A/A1 (civil) Kérosène d'aviation) </w:t>
            </w:r>
            <w:r>
              <w:rPr>
                <w:b/>
                <w:bCs/>
                <w:color w:val="00274C"/>
                <w:position w:val="-2"/>
                <w:sz w:val="20"/>
                <w:szCs w:val="20"/>
                <w:u w:val="none"/>
              </w:rPr>
              <w:t xml:space="preserve">(1)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Utilisation de carburants d'aviation : Les carburants d'aviation ne peuvent être utilisés qu'avec un filtre à carburant supplémentaire muni d'un dispositif de dosage de lubrification. En raison de leur faible densité et des pertes de volume accrues dues à leur viscosité réduite, une perte de puissance pouvant atteindre 10 % est possible, selon le régime moteur et le couple. Les carburants d'aviation mentionnés présentent certaines propriétés problématiques (viscosité, pouvoir lubrifiant et point d'ébullition bas). Une légère augmentation de l'usure du système d'injection est à prévoir, ce qui peut entraîner une réduction statistique de la durée de vie de ces composants. La teneur en soufre doit être inférieure à 2 000 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Additifs pour carburant</w:t>
            </w:r>
          </w:p>
          <w:p>
            <w:pPr>
              <w:widowControl w:val="on"/>
              <w:pBdr/>
              <w:spacing w:before="0" w:after="0" w:line="262" w:lineRule="auto"/>
              <w:ind w:left="0" w:right="0"/>
              <w:jc w:val="left"/>
              <w:textAlignment w:val="center"/>
            </w:pPr>
            <w:r>
              <w:rPr>
                <w:color w:val="00274C"/>
                <w:position w:val="-2"/>
                <w:sz w:val="20"/>
                <w:szCs w:val="20"/>
                <w:u w:val="none"/>
              </w:rPr>
              <w:t xml:space="preserve">Afin de maintenir les performances du circuit d'injection, Rehlko a développé une gamme de produits additifs pour le marché nord-américain.</w:t>
            </w:r>
          </w:p>
          <w:p/>
          <w:p/>
          <w:p>
            <w:pPr>
              <w:widowControl w:val="on"/>
              <w:pBdr/>
              <w:spacing w:before="0" w:after="0" w:line="262" w:lineRule="auto"/>
              <w:ind w:left="0" w:right="0"/>
              <w:jc w:val="left"/>
              <w:textAlignment w:val="center"/>
            </w:pPr>
            <w:r>
              <w:rPr>
                <w:color w:val="00274C"/>
                <w:position w:val="-2"/>
                <w:sz w:val="20"/>
                <w:szCs w:val="20"/>
                <w:u w:val="none"/>
              </w:rPr>
              <w:t xml:space="preserve">L'additif pour carburant  </w:t>
            </w:r>
            <w:r>
              <w:rPr>
                <w:b/>
                <w:bCs/>
                <w:color w:val="000000"/>
                <w:position w:val="-2"/>
                <w:sz w:val="20"/>
                <w:szCs w:val="20"/>
                <w:u w:val="none"/>
              </w:rPr>
              <w:t xml:space="preserve">Extra Performance</w:t>
            </w:r>
            <w:r>
              <w:rPr>
                <w:color w:val="00274C"/>
                <w:position w:val="-2"/>
                <w:sz w:val="20"/>
                <w:szCs w:val="20"/>
                <w:u w:val="none"/>
              </w:rPr>
              <w:t xml:space="preserve">   </w:t>
            </w:r>
            <w:r>
              <w:rPr>
                <w:b/>
                <w:bCs/>
                <w:color w:val="00274C"/>
                <w:position w:val="-2"/>
                <w:sz w:val="20"/>
                <w:szCs w:val="20"/>
                <w:u w:val="none"/>
              </w:rPr>
              <w:t xml:space="preserve">Arctic Formula</w:t>
            </w:r>
            <w:r>
              <w:rPr>
                <w:color w:val="00274C"/>
                <w:position w:val="-2"/>
                <w:sz w:val="20"/>
                <w:szCs w:val="20"/>
                <w:u w:val="none"/>
              </w:rPr>
              <w:t xml:space="preserve"> est une formule hivernale </w:t>
            </w:r>
            <w:r>
              <w:rPr>
                <w:b/>
                <w:bCs/>
                <w:color w:val="00274C"/>
                <w:position w:val="-2"/>
                <w:sz w:val="20"/>
                <w:szCs w:val="20"/>
                <w:u w:val="none"/>
              </w:rPr>
              <w:t xml:space="preserve">Extra Performance Fuel Additive</w:t>
            </w:r>
            <w:r>
              <w:rPr>
                <w:color w:val="00274C"/>
                <w:position w:val="-2"/>
                <w:sz w:val="20"/>
                <w:szCs w:val="20"/>
                <w:u w:val="none"/>
              </w:rPr>
              <w:t xml:space="preserve"> qui nettoie et prévient les dépôts dans les injecteurs. Contactez votre concessionnaire Rehlko pour connaître sa disponibilité.</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Utilisez l'additif pour carburant diesel Rehlko Injector Cleaner avant de faire le plein une fois par an ou toutes les 500 heures, que ce soit avec du carburant été ou hiver. Sa formule nettoie les dépôts sur les injecteurs et lubrifie la pompe haute pression et les injecteurs afin de réduire l'usure et d'améliorer la qualité du carburant. Compatible avec tous les systèmes d'échappement, y compris les filtres à particules diesel (FAP). Suivez scrupuleusement les instructions figurant sur l'étiquette du produit.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Utilisez l'additif pour carburant Rehlko Extra Performance Arctic Formula, contenant un agent antigel, pour traiter le carburant non hivernal (n° 2-D en Amérique du Nord) par temps froid. Ceci permet une utilisation prolongée jusqu'à environ 10 °C (18 °F) en dessous du point de cristallisation de la paraffine. Pour une utilisation par températures encore plus basses, utilisez du carburant hivernal. Traitez le carburant lorsque la température extérieure descend en dessous de 0 °C (32 °F). Pour des résultats optimaux, utilisez du carburant non traité et suivez scrupuleusement les instructions figurant sur l'étiquette du produit.</w:t>
                  </w:r>
                </w:p>
                <w:p/>
                <w:p/>
                <w:p>
                  <w:pPr>
                    <w:widowControl w:val="on"/>
                    <w:pBdr/>
                    <w:spacing w:before="0" w:after="0" w:line="262" w:lineRule="auto"/>
                    <w:ind w:left="0" w:right="0"/>
                    <w:jc w:val="left"/>
                    <w:textAlignment w:val="center"/>
                  </w:pPr>
                  <w:r>
                    <w:rPr>
                      <w:color w:val="00274C"/>
                      <w:position w:val="-2"/>
                      <w:sz w:val="20"/>
                      <w:szCs w:val="20"/>
                      <w:u w:val="none"/>
                    </w:rPr>
                    <w:t xml:space="preserve">Le point de cristallisation de la paraffine est la température à laquelle la paraffine commence à se déposer dans le carburant, provoquant l'encrassement des filtres.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ne sont autorisés que pour le carburant stocké dans des réservoirs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obtenir des suggestions de produits, veuillez contacter le personnel de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Ces additifs doivent être dilués en pourcentage conformément à la prescription du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Il est préférable d'utiliser le liquide de refroidissement prémélangé Rehlko Xtended™ contenant 50 % d'éthylène glycol OAT</w:t>
            </w:r>
            <w:r>
              <w:rPr>
                <w:color w:val="00274C"/>
                <w:position w:val="-2"/>
                <w:sz w:val="20"/>
                <w:szCs w:val="20"/>
                <w:u w:val="none"/>
              </w:rPr>
              <w:t xml:space="preserve"> </w:t>
            </w:r>
            <w:r>
              <w:rPr>
                <w:b/>
                <w:bCs/>
                <w:color w:val="000000"/>
                <w:position w:val="-2"/>
                <w:sz w:val="20"/>
                <w:szCs w:val="20"/>
                <w:u w:val="none"/>
              </w:rPr>
              <w:t xml:space="preserve">.</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0000"/>
                <w:position w:val="-2"/>
                <w:sz w:val="20"/>
                <w:szCs w:val="20"/>
                <w:u w:val="none"/>
              </w:rPr>
              <w:t xml:space="preserve">Il est également recommandé d'utiliser des fluides frigorigènes conformes aux spécifications suivantes</w:t>
            </w:r>
            <w:r>
              <w:rPr>
                <w:color w:val="00274C"/>
                <w:position w:val="-2"/>
                <w:sz w:val="20"/>
                <w:szCs w:val="20"/>
                <w:u w:val="none"/>
              </w:rPr>
              <w:t xml:space="preserve"> </w:t>
            </w:r>
            <w:r>
              <w:rPr>
                <w:b/>
                <w:bCs/>
                <w:color w:val="000000"/>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KDW: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5970"/>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5 ans ou 4000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STANDARD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 CONDITIONS DE DÉMARRAGE À HAUTE SOLLICITATION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210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410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400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255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500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485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330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650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630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665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1003-1404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665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420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825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800 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le modèle </w:t>
      </w:r>
      <w:r>
        <w:rPr>
          <w:b/>
          <w:bCs/>
          <w:color w:val="00274C"/>
          <w:sz w:val="20"/>
          <w:szCs w:val="20"/>
          <w:u w:val="none"/>
        </w:rPr>
        <w:t xml:space="preserve">K-HEM</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pour remplacer les batteries de l'unité hybride, contactez le fabricant de la machine.</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5971">
    <w:multiLevelType w:val="hybridMultilevel"/>
    <w:lvl w:ilvl="0" w:tplc="13229782">
      <w:start w:val="1"/>
      <w:numFmt w:val="decimal"/>
      <w:lvlText w:val="%1."/>
      <w:lvlJc w:val="left"/>
      <w:pPr>
        <w:ind w:left="720" w:hanging="360"/>
      </w:pPr>
    </w:lvl>
    <w:lvl w:ilvl="1" w:tplc="13229782" w:tentative="1">
      <w:start w:val="1"/>
      <w:numFmt w:val="lowerLetter"/>
      <w:lvlText w:val="%2."/>
      <w:lvlJc w:val="left"/>
      <w:pPr>
        <w:ind w:left="1440" w:hanging="360"/>
      </w:pPr>
    </w:lvl>
    <w:lvl w:ilvl="2" w:tplc="13229782" w:tentative="1">
      <w:start w:val="1"/>
      <w:numFmt w:val="lowerRoman"/>
      <w:lvlText w:val="%3."/>
      <w:lvlJc w:val="right"/>
      <w:pPr>
        <w:ind w:left="2160" w:hanging="180"/>
      </w:pPr>
    </w:lvl>
    <w:lvl w:ilvl="3" w:tplc="13229782" w:tentative="1">
      <w:start w:val="1"/>
      <w:numFmt w:val="decimal"/>
      <w:lvlText w:val="%4."/>
      <w:lvlJc w:val="left"/>
      <w:pPr>
        <w:ind w:left="2880" w:hanging="360"/>
      </w:pPr>
    </w:lvl>
    <w:lvl w:ilvl="4" w:tplc="13229782" w:tentative="1">
      <w:start w:val="1"/>
      <w:numFmt w:val="lowerLetter"/>
      <w:lvlText w:val="%5."/>
      <w:lvlJc w:val="left"/>
      <w:pPr>
        <w:ind w:left="3600" w:hanging="360"/>
      </w:pPr>
    </w:lvl>
    <w:lvl w:ilvl="5" w:tplc="13229782" w:tentative="1">
      <w:start w:val="1"/>
      <w:numFmt w:val="lowerRoman"/>
      <w:lvlText w:val="%6."/>
      <w:lvlJc w:val="right"/>
      <w:pPr>
        <w:ind w:left="4320" w:hanging="180"/>
      </w:pPr>
    </w:lvl>
    <w:lvl w:ilvl="6" w:tplc="13229782" w:tentative="1">
      <w:start w:val="1"/>
      <w:numFmt w:val="decimal"/>
      <w:lvlText w:val="%7."/>
      <w:lvlJc w:val="left"/>
      <w:pPr>
        <w:ind w:left="5040" w:hanging="360"/>
      </w:pPr>
    </w:lvl>
    <w:lvl w:ilvl="7" w:tplc="13229782" w:tentative="1">
      <w:start w:val="1"/>
      <w:numFmt w:val="lowerLetter"/>
      <w:lvlText w:val="%8."/>
      <w:lvlJc w:val="left"/>
      <w:pPr>
        <w:ind w:left="5760" w:hanging="360"/>
      </w:pPr>
    </w:lvl>
    <w:lvl w:ilvl="8" w:tplc="13229782" w:tentative="1">
      <w:start w:val="1"/>
      <w:numFmt w:val="lowerRoman"/>
      <w:lvlText w:val="%9."/>
      <w:lvlJc w:val="right"/>
      <w:pPr>
        <w:ind w:left="6480" w:hanging="180"/>
      </w:pPr>
    </w:lvl>
  </w:abstractNum>
  <w:abstractNum w:abstractNumId="5970">
    <w:multiLevelType w:val="hybridMultilevel"/>
    <w:lvl w:ilvl="0" w:tplc="351724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970">
    <w:abstractNumId w:val="5970"/>
  </w:num>
  <w:num w:numId="5971">
    <w:abstractNumId w:val="59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4903284" Type="http://schemas.openxmlformats.org/officeDocument/2006/relationships/comments" Target="comments.xml"/><Relationship Id="rId590643128" Type="http://schemas.microsoft.com/office/2011/relationships/commentsExtended" Target="commentsExtended.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