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KDI-TCP 3404 E5 (REV. 01.2)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64072021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2584063"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4488981" w:name="ctxt"/>
    <w:bookmarkEnd w:id="94488981"/>
    <w:p>
      <w:pPr>
        <w:widowControl w:val="on"/>
        <w:pBdr/>
        <w:spacing w:before="75" w:after="75" w:line="240" w:lineRule="auto"/>
        <w:ind w:left="75" w:right="75"/>
        <w:jc w:val="left"/>
      </w:pPr>
    </w:p>
    <w:p>
      <w:pPr>
        <w:pStyle w:val="Titolo1"/>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soupapes par cylindre avec poussoirs hydrauliques;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Turbocompresseur avec soupape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Injection directe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CARACTÉRISTIQUES TECHNIQUES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UNITÉ DE MESURE</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53"/>
                    </w:rPr>
                    <w:drawing>
                      <wp:inline distT="0" distB="0" distL="0" distR="0">
                        <wp:extent cx="1080000" cy="741600"/>
                        <wp:effectExtent b="0" l="0" r="0" t="0"/>
                        <wp:docPr id="35549725" name="name627169e0fcc1c609f" descr="Cap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2_01.png"/>
                                <pic:cNvPicPr/>
                              </pic:nvPicPr>
                              <pic:blipFill>
                                <a:blip r:embed="rId542969e0fcc1c609d" cstate="print"/>
                                <a:stretch>
                                  <a:fillRect/>
                                </a:stretch>
                              </pic:blipFill>
                              <pic:spPr>
                                <a:xfrm>
                                  <a:off x="0" y="0"/>
                                  <a:ext cx="1080000" cy="7416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MODÈLE DU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KDI-TCP 3404 E5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ALÉSAGE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INCLINAISON MAXIMALE PENDANT LE FONCTIONNEMENT (même en combiné)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26112817" w:name="result_box"/>
                <w:bookmarkEnd w:id="26112817"/>
                <w:p>
                  <w:pPr>
                    <w:widowControl w:val="on"/>
                    <w:pBdr/>
                    <w:spacing w:before="0" w:after="0" w:line="240" w:lineRule="auto"/>
                    <w:ind w:left="0" w:right="0"/>
                    <w:jc w:val="center"/>
                  </w:pPr>
                  <w:r>
                    <w:rPr>
                      <w:color w:val="00274C"/>
                      <w:position w:val="-2"/>
                      <w:sz w:val="20"/>
                      <w:szCs w:val="20"/>
                      <w:u w:val="none"/>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23436480" w:name="result_box"/>
                <w:bookmarkEnd w:id="23436480"/>
                <w:p>
                  <w:pPr>
                    <w:widowControl w:val="on"/>
                    <w:pBdr/>
                    <w:spacing w:before="0" w:after="0" w:line="240" w:lineRule="auto"/>
                    <w:ind w:left="0" w:right="0"/>
                    <w:jc w:val="center"/>
                  </w:pPr>
                  <w:r>
                    <w:rPr>
                      <w:color w:val="00274C"/>
                      <w:position w:val="-2"/>
                      <w:sz w:val="20"/>
                      <w:szCs w:val="20"/>
                      <w:u w:val="none"/>
                      <w:shd w:val="clear" w:color="auto" w:fill="E1E2E0"/>
                    </w:rPr>
                    <w:t xml:space="preserve">45° max 1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CAPACITÉ HUILE (niveau MAX.) avec filtre à huile monté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POIDS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308709" name="name380769e0fcc1ce14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3669e0fcc1ce14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512"/>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1512"/>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1512"/>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1512"/>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1512"/>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647377" name="name217469e0fcc1d5cb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8669e0fcc1d5ca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12"/>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1512"/>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1512"/>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1512"/>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1512"/>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0000"/>
          <w:sz w:val="20"/>
          <w:szCs w:val="20"/>
          <w:u w:val="none"/>
        </w:rPr>
        <w:t xml:space="preserve">Utiliser la viscosité d'huile basée sur la plage de température de l'air observée pendant la période entre les vidanges d'huile, comme indiqué dans le tableau ci-dessous.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0000"/>
          <w:sz w:val="20"/>
          <w:szCs w:val="20"/>
          <w:u w:val="none"/>
        </w:rPr>
        <w:t xml:space="preserve">Rehlko X-treme 10W-40 formula pro ; X-treme 10W-40 ; X-treme 5W-40 sont recommandées en priorité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4507285" name="name205969e0fcc1dd34b"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946169e0fcc1dd349"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29266672" name="name921969e0fcc1e3c3f"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292969e0fcc1e3c3d"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99628700" name="name941269e0fcc1e9d13"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835269e0fcc1e9d11"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0000"/>
          <w:sz w:val="20"/>
          <w:szCs w:val="20"/>
          <w:u w:val="none"/>
        </w:rPr>
        <w:t xml:space="preserve">Les huiles répondant aux spécifications suivantes sont également recommandées.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HUILE PRESCRIT</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numPr>
          <w:ilvl w:val="0"/>
          <w:numId w:val="1512"/>
        </w:numPr>
        <w:spacing w:before="0" w:after="0" w:line="240" w:lineRule="auto"/>
        <w:jc w:val="left"/>
        <w:rPr>
          <w:color w:val="00274C"/>
          <w:sz w:val="20"/>
          <w:szCs w:val="20"/>
        </w:rPr>
      </w:pPr>
      <w:r>
        <w:rPr>
          <w:color w:val="00274C"/>
          <w:sz w:val="20"/>
          <w:szCs w:val="20"/>
          <w:u w:val="none"/>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1512"/>
        </w:numPr>
        <w:spacing w:before="0" w:after="0" w:line="240" w:lineRule="auto"/>
        <w:jc w:val="left"/>
        <w:rPr>
          <w:color w:val="00274C"/>
          <w:sz w:val="20"/>
          <w:szCs w:val="20"/>
        </w:rPr>
      </w:pPr>
      <w:r>
        <w:rPr>
          <w:color w:val="00274C"/>
          <w:sz w:val="20"/>
          <w:szCs w:val="20"/>
          <w:u w:val="none"/>
        </w:rPr>
        <w:t xml:space="preserve">Pour la séquence d’huile Mid S.A.P.S, le niveau de cendres sulfatées est identique à l'API CJ-4 ≤ 1,0 %, mais conformément à la normalisation ACEA, ces huiles sont référencées sous Mid SAPS.</w:t>
      </w:r>
    </w:p>
    <w:p>
      <w:pPr>
        <w:numPr>
          <w:ilvl w:val="0"/>
          <w:numId w:val="1512"/>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w:t>
      </w:r>
      <w:r>
        <w:rPr>
          <w:b/>
          <w:bCs/>
          <w:color w:val="00274C"/>
          <w:sz w:val="20"/>
          <w:szCs w:val="20"/>
          <w:u w:val="none"/>
        </w:rPr>
        <w:t xml:space="preserve"> REMARQUE</w:t>
      </w:r>
      <w:r>
        <w:rPr>
          <w:color w:val="00274C"/>
          <w:sz w:val="20"/>
          <w:szCs w:val="20"/>
          <w:u w:val="none"/>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6009170" name="name606869e0fcc20111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08469e0fcc20111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97183919" name="name803969e0fcc208ed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74469e0fcc208ed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Avertissement</w:t>
            </w:r>
          </w:p>
          <w:p>
            <w:pPr>
              <w:numPr>
                <w:ilvl w:val="0"/>
                <w:numId w:val="1512"/>
              </w:numPr>
              <w:spacing w:before="0" w:after="0" w:line="262" w:lineRule="auto"/>
              <w:jc w:val="left"/>
              <w:rPr>
                <w:color w:val="00274C"/>
                <w:sz w:val="20"/>
                <w:szCs w:val="20"/>
              </w:rPr>
            </w:pPr>
            <w:r>
              <w:rPr>
                <w:color w:val="00274C"/>
                <w:position w:val="0"/>
                <w:sz w:val="20"/>
                <w:szCs w:val="20"/>
                <w:u w:val="none"/>
              </w:rPr>
              <w:t xml:space="preserve">Un carburant propre évite le colmatage des injecteurs de carburant. Nettoyer immédiatement tout déversement pendant le remplissage.</w:t>
            </w:r>
          </w:p>
          <w:p>
            <w:pPr>
              <w:numPr>
                <w:ilvl w:val="0"/>
                <w:numId w:val="1512"/>
              </w:numPr>
              <w:spacing w:before="0" w:after="0" w:line="262" w:lineRule="auto"/>
              <w:jc w:val="left"/>
              <w:rPr>
                <w:color w:val="00274C"/>
                <w:sz w:val="20"/>
                <w:szCs w:val="20"/>
              </w:rPr>
            </w:pPr>
            <w:r>
              <w:rPr>
                <w:color w:val="00274C"/>
                <w:position w:val="0"/>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numPr>
                <w:ilvl w:val="0"/>
                <w:numId w:val="1512"/>
              </w:numPr>
              <w:spacing w:before="0" w:after="0" w:line="262" w:lineRule="auto"/>
              <w:jc w:val="left"/>
              <w:rPr>
                <w:color w:val="00274C"/>
                <w:sz w:val="20"/>
                <w:szCs w:val="20"/>
              </w:rPr>
            </w:pPr>
            <w:r>
              <w:rPr>
                <w:color w:val="00274C"/>
                <w:position w:val="0"/>
                <w:sz w:val="20"/>
                <w:szCs w:val="20"/>
                <w:u w:val="none"/>
              </w:rPr>
              <w:t xml:space="preserve">Toute panne résultant de l'utilisation d'un carburant autre que  </w:t>
            </w:r>
            <w:r>
              <w:rPr>
                <w:b/>
                <w:bCs/>
                <w:color w:val="00274C"/>
                <w:position w:val="0"/>
                <w:sz w:val="20"/>
                <w:szCs w:val="20"/>
                <w:u w:val="none"/>
              </w:rPr>
              <w:t xml:space="preserve">Tab. 2.3</w:t>
            </w:r>
            <w:r>
              <w:rPr>
                <w:color w:val="00274C"/>
                <w:position w:val="0"/>
                <w:sz w:val="20"/>
                <w:szCs w:val="20"/>
                <w:u w:val="none"/>
              </w:rPr>
              <w:t xml:space="preserve">  ne seront pas couverts par la garantie.</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Indice de cétane de 40 minimum. Un indice de cétane supérieur à 47 est préférable, en particulier pour des températures inférieures à –20 °C (–4 °F) ou des altitudes supérieures à 1675 m (5500 pieds).</w:t>
            </w:r>
          </w:p>
          <w:p/>
          <w:p/>
          <w:p>
            <w:pPr>
              <w:widowControl w:val="on"/>
              <w:pBdr/>
              <w:spacing w:before="0" w:after="0" w:line="262" w:lineRule="auto"/>
              <w:ind w:left="0" w:right="0"/>
              <w:jc w:val="left"/>
              <w:textAlignment w:val="center"/>
            </w:pPr>
            <w:r>
              <w:rPr>
                <w:b/>
                <w:bCs/>
                <w:color w:val="00274C"/>
                <w:position w:val="-2"/>
                <w:sz w:val="20"/>
                <w:szCs w:val="20"/>
                <w:u w:val="none"/>
              </w:rPr>
              <w:t xml:space="preserve">Moteurs à réglementation stricte (UE, États-Unis, Canada, Japon, Chine, Inde)</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UE EN 590</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Amérique du Nord ASTM D975 n° 2-D S15 ; n° 1-D S15</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Japon JIS K 2204 n° 1 ; n° 2</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Inde BS-V ULSD ; BS-VI ULSD</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Chine GB 19147-2016 ULSD GB 17691—2018 ULSD</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HVO EN 15940 ou ASTM D975</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Carburant militaire OTAN F-54 S &lt; 10 ppm</w:t>
            </w:r>
          </w:p>
          <w:p/>
          <w:p/>
          <w:p>
            <w:pPr>
              <w:widowControl w:val="on"/>
              <w:pBdr/>
              <w:spacing w:before="0" w:after="0" w:line="262" w:lineRule="auto"/>
              <w:ind w:left="0" w:right="0"/>
              <w:jc w:val="left"/>
              <w:textAlignment w:val="center"/>
            </w:pPr>
            <w:r>
              <w:rPr>
                <w:b/>
                <w:bCs/>
                <w:color w:val="00274C"/>
                <w:position w:val="-2"/>
                <w:sz w:val="20"/>
                <w:szCs w:val="20"/>
                <w:u w:val="none"/>
              </w:rPr>
              <w:t xml:space="preserve">Moteurs non réglementés ou soumis à des normes moins strictes (Reste du monde et applications militaires)</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Équivalent aux spécifications ci-dessus</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Équivalent aux spécifications ci-dessus, mais avec une teneur en soufre &lt; 500 ppm</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Équivalent aux spécifications ci-dessus, mais avec une teneur en soufre &lt; 2 000 ppm</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F-34/F-35 (Kérosène, désignation OTAN)  </w:t>
            </w:r>
            <w:r>
              <w:rPr>
                <w:b/>
                <w:bCs/>
                <w:color w:val="00274C"/>
                <w:position w:val="-2"/>
                <w:sz w:val="20"/>
                <w:szCs w:val="20"/>
                <w:u w:val="none"/>
              </w:rPr>
              <w:t xml:space="preserve">(1)</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F-44 (Kérosène, désignation OTAN)  </w:t>
            </w:r>
            <w:r>
              <w:rPr>
                <w:b/>
                <w:bCs/>
                <w:color w:val="00274C"/>
                <w:position w:val="-2"/>
                <w:sz w:val="20"/>
                <w:szCs w:val="20"/>
                <w:u w:val="none"/>
              </w:rPr>
              <w:t xml:space="preserve">(1)</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F-63 (Kérosène, désignation OTAN, équivalent au F-34/F-35 avec additifs)  </w:t>
            </w:r>
            <w:r>
              <w:rPr>
                <w:b/>
                <w:bCs/>
                <w:color w:val="00274C"/>
                <w:position w:val="-2"/>
                <w:sz w:val="20"/>
                <w:szCs w:val="20"/>
                <w:u w:val="none"/>
              </w:rPr>
              <w:t xml:space="preserve">(1)</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JP-8 (Kérosène, désignation militaire américaine)  </w:t>
            </w:r>
            <w:r>
              <w:rPr>
                <w:b/>
                <w:bCs/>
                <w:color w:val="00274C"/>
                <w:position w:val="-2"/>
                <w:sz w:val="20"/>
                <w:szCs w:val="20"/>
                <w:u w:val="none"/>
              </w:rPr>
              <w:t xml:space="preserve">(1)</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JP-5 (Kérosène, désignation militaire américaine)  </w:t>
            </w:r>
            <w:r>
              <w:rPr>
                <w:b/>
                <w:bCs/>
                <w:color w:val="00274C"/>
                <w:position w:val="-2"/>
                <w:sz w:val="20"/>
                <w:szCs w:val="20"/>
                <w:u w:val="none"/>
              </w:rPr>
              <w:t xml:space="preserve">(1)</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Jet A/A1 (civil) Kérosène d'aviation)  </w:t>
            </w:r>
            <w:r>
              <w:rPr>
                <w:b/>
                <w:bCs/>
                <w:color w:val="00274C"/>
                <w:position w:val="-2"/>
                <w:sz w:val="20"/>
                <w:szCs w:val="20"/>
                <w:u w:val="none"/>
              </w:rPr>
              <w:t xml:space="preserve">(1)</w:t>
            </w:r>
          </w:p>
          <w:p/>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Utilisation de carburants d'aviation : Les carburants d'aviation ne peuvent être utilisés qu'avec un filtre à carburant supplémentaire muni d'un dispositif de dosage de lubrification. En raison de leur faible densité et des pertes de volume accrues dues à leur viscosité réduite, une perte de puissance pouvant atteindre 10 % est possible, selon le régime moteur et le couple. Les carburants d'aviation mentionnés présentent certaines propriétés problématiques (viscosité, pouvoir lubrifiant et point d'ébullition bas). Une légère augmentation de l'usure du système d'injection est à prévoir, ce qui peut entraîner une réduction statistique de la durée de vie de ces composants. La teneur en soufre doit être inférieure à 2 000 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Additifs pour carburant</w:t>
            </w:r>
          </w:p>
          <w:p>
            <w:pPr>
              <w:widowControl w:val="on"/>
              <w:pBdr/>
              <w:spacing w:before="0" w:after="0" w:line="262" w:lineRule="auto"/>
              <w:ind w:left="0" w:right="0"/>
              <w:jc w:val="left"/>
              <w:textAlignment w:val="center"/>
            </w:pPr>
            <w:r>
              <w:rPr>
                <w:color w:val="00274C"/>
                <w:position w:val="-2"/>
                <w:sz w:val="20"/>
                <w:szCs w:val="20"/>
                <w:u w:val="none"/>
              </w:rPr>
              <w:t xml:space="preserve">Afin de maintenir les performances du circuit d'injection, Rehlko a développé une gamme de produits additifs pour le marché nord-américain.</w:t>
            </w:r>
          </w:p>
          <w:p/>
          <w:p/>
          <w:p>
            <w:pPr>
              <w:widowControl w:val="on"/>
              <w:pBdr/>
              <w:spacing w:before="0" w:after="0" w:line="262" w:lineRule="auto"/>
              <w:ind w:left="0" w:right="0"/>
              <w:jc w:val="left"/>
              <w:textAlignment w:val="center"/>
            </w:pPr>
            <w:r>
              <w:rPr>
                <w:color w:val="00274C"/>
                <w:position w:val="-2"/>
                <w:sz w:val="20"/>
                <w:szCs w:val="20"/>
                <w:u w:val="none"/>
              </w:rPr>
              <w:t xml:space="preserve">L'additif pour carburant  </w:t>
            </w:r>
            <w:r>
              <w:rPr>
                <w:b/>
                <w:bCs/>
                <w:color w:val="00274C"/>
                <w:position w:val="-2"/>
                <w:sz w:val="20"/>
                <w:szCs w:val="20"/>
                <w:u w:val="none"/>
              </w:rPr>
              <w:t xml:space="preserve">Extra Performance</w:t>
            </w:r>
            <w:r>
              <w:rPr>
                <w:color w:val="00274C"/>
                <w:position w:val="-2"/>
                <w:sz w:val="20"/>
                <w:szCs w:val="20"/>
                <w:u w:val="none"/>
              </w:rPr>
              <w:t xml:space="preserve">   </w:t>
            </w:r>
            <w:r>
              <w:rPr>
                <w:b/>
                <w:bCs/>
                <w:color w:val="00274C"/>
                <w:position w:val="-2"/>
                <w:sz w:val="20"/>
                <w:szCs w:val="20"/>
                <w:u w:val="none"/>
              </w:rPr>
              <w:t xml:space="preserve">Arctic Formula</w:t>
            </w:r>
            <w:r>
              <w:rPr>
                <w:color w:val="00274C"/>
                <w:position w:val="-2"/>
                <w:sz w:val="20"/>
                <w:szCs w:val="20"/>
                <w:u w:val="none"/>
              </w:rPr>
              <w:t xml:space="preserve">  est une formule hivernale  </w:t>
            </w:r>
            <w:r>
              <w:rPr>
                <w:b/>
                <w:bCs/>
                <w:color w:val="00274C"/>
                <w:position w:val="-2"/>
                <w:sz w:val="20"/>
                <w:szCs w:val="20"/>
                <w:u w:val="none"/>
              </w:rPr>
              <w:t xml:space="preserve">Extra Performance Fuel Additive</w:t>
            </w:r>
            <w:r>
              <w:rPr>
                <w:color w:val="00274C"/>
                <w:position w:val="-2"/>
                <w:sz w:val="20"/>
                <w:szCs w:val="20"/>
                <w:u w:val="none"/>
              </w:rPr>
              <w:t xml:space="preserve">  qui nettoie et prévient les dépôts dans les injecteurs. Contactez votre concessionnaire Rehlko pour connaître sa disponibilité.</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(Amérique du Nord seulement)</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r>
                    <w:rPr>
                      <w:position w:val="-620"/>
                    </w:rPr>
                    <w:drawing>
                      <wp:inline distT="0" distB="0" distL="0" distR="0">
                        <wp:extent cx="1591200" cy="3924000"/>
                        <wp:effectExtent b="0" l="0" r="0" t="0"/>
                        <wp:docPr id="98516961" name="name502069e0fcc213a62"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994469e0fcc213a60"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Utilisez l'additif pour carburant diesel Rehlko Injector Cleaner avant de faire le plein une fois par an ou toutes les 500 heures, que ce soit avec du carburant été ou hiver. Sa formule nettoie les dépôts sur les injecteurs et lubrifie la pompe haute pression et les injecteurs afin de réduire l'usure et d'améliorer la qualité du carburant. Compatible avec tous les systèmes d'échappement, y compris les filtres à particules diesel (FAP). Suivez scrupuleusement les instructions figurant sur l'étiquette du produit.</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(Amérique du Nord seulement)</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732"/>
                    </w:rPr>
                    <w:drawing>
                      <wp:inline distT="0" distB="0" distL="0" distR="0">
                        <wp:extent cx="1864800" cy="4622400"/>
                        <wp:effectExtent b="0" l="0" r="0" t="0"/>
                        <wp:docPr id="28273973" name="name902269e0fcc21bf0d"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858369e0fcc21bf0b"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Utilisez l'additif pour carburant Rehlko Extra Performance Arctic Formula, contenant un agent antigel, pour traiter le carburant non hivernal (n° 2-D en Amérique du Nord) par temps froid. Ceci permet une utilisation prolongée jusqu'à environ 10 °C (18 °F) en dessous du point de cristallisation de la paraffine. Pour une utilisation par températures encore plus basses, utilisez du carburant hivernal. Traitez le carburant lorsque la température extérieure descend en dessous de 0 °C (32 °F). Pour des résultats optimaux, utilisez du carburant non traité et suivez scrupuleusement les instructions figurant sur l'étiquette du produit.</w:t>
                  </w:r>
                </w:p>
                <w:p/>
                <w:p/>
                <w:p>
                  <w:pPr>
                    <w:widowControl w:val="on"/>
                    <w:pBdr/>
                    <w:spacing w:before="0" w:after="0" w:line="262" w:lineRule="auto"/>
                    <w:ind w:left="0" w:right="0"/>
                    <w:jc w:val="left"/>
                    <w:textAlignment w:val="center"/>
                  </w:pPr>
                  <w:r>
                    <w:rPr>
                      <w:color w:val="00274C"/>
                      <w:position w:val="-2"/>
                      <w:sz w:val="20"/>
                      <w:szCs w:val="20"/>
                      <w:u w:val="none"/>
                    </w:rPr>
                    <w:t xml:space="preserve">Le point de cristallisation de la paraffine est la température à laquelle la paraffine commence à se déposer dans le carburant, provoquant l'encrassement des filtres.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additifs pour carburant ayant des fonctions biocides/algicides ne sont autorisés que pour le carburant stocké dans des réservoirs pendant de longues périodes (un an ou plus).</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Pour obtenir des suggestions de produits, veuillez contacter le personnel de Rehlko.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 :</w:t>
                  </w:r>
                  <w:r>
                    <w:rPr>
                      <w:color w:val="00274C"/>
                      <w:position w:val="-2"/>
                      <w:sz w:val="20"/>
                      <w:szCs w:val="20"/>
                      <w:u w:val="none"/>
                    </w:rPr>
                    <w:t xml:space="preserve">  Ces additifs doivent être dilués en pourcentage conformément à la prescription du produit lors du remplissage du réservoir.</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Mar>
              <w:top w:w="150" w:type="dxa"/>
              <w:left w:w="150" w:type="dxa"/>
              <w:bottom w:w="150" w:type="dxa"/>
              <w:right w:w="150" w:type="dxa"/>
            </w:tcMar>
            <w:vAlign w:val="center"/>
          </w:tcPr>
          <w:p>
            <w:pPr>
              <w:numPr>
                <w:ilvl w:val="0"/>
                <w:numId w:val="1514"/>
              </w:numPr>
              <w:spacing w:before="0" w:after="0" w:line="262" w:lineRule="auto"/>
              <w:jc w:val="left"/>
              <w:rPr>
                <w:color w:val="00274C"/>
                <w:sz w:val="20"/>
                <w:szCs w:val="20"/>
              </w:rPr>
            </w:pPr>
            <w:r>
              <w:rPr>
                <w:color w:val="00274C"/>
                <w:position w:val="-2"/>
                <w:sz w:val="20"/>
                <w:szCs w:val="20"/>
                <w:u w:val="none"/>
              </w:rPr>
              <w:t xml:space="preserve">Connu sous le nom de « AUS 32 » en Europe, « DEF » aux États-Unis ou « Urea Solution », il est enregistré avec la marque « AdBlue </w:t>
            </w:r>
            <w:r>
              <w:rPr>
                <w:color w:val="00274C"/>
                <w:position w:val="3"/>
                <w:sz w:val="17"/>
                <w:szCs w:val="17"/>
                <w:u w:val="none"/>
                <w:vertAlign w:val="superscript"/>
                <w:vertAlign w:val="superscript"/>
              </w:rPr>
              <w:t xml:space="preserve">®</w:t>
            </w:r>
            <w:r>
              <w:rPr>
                <w:color w:val="00274C"/>
                <w:position w:val="-2"/>
                <w:sz w:val="20"/>
                <w:szCs w:val="20"/>
                <w:u w:val="none"/>
              </w:rPr>
              <w:t xml:space="preserve"> » dans le Verband der Automobilindustrie (VDA - Union de l'industrie automobile) ; il doit être conforme aux normes ISO suivantes :</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ISO 22241-1 Quality requirements</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ISO 22241-2 Test Methods</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ISO 22241-3 Handling, transportation and Storing</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ISO 22241-4 Refilling Interface</w:t>
            </w:r>
          </w:p>
          <w:p>
            <w:pPr>
              <w:numPr>
                <w:ilvl w:val="0"/>
                <w:numId w:val="1515"/>
              </w:numPr>
              <w:spacing w:before="0" w:after="0" w:line="262" w:lineRule="auto"/>
              <w:jc w:val="left"/>
              <w:rPr>
                <w:color w:val="00274C"/>
                <w:sz w:val="20"/>
                <w:szCs w:val="20"/>
              </w:rPr>
            </w:pPr>
            <w:r>
              <w:rPr>
                <w:color w:val="00274C"/>
                <w:position w:val="-2"/>
                <w:sz w:val="20"/>
                <w:szCs w:val="20"/>
                <w:u w:val="none"/>
              </w:rPr>
              <w:t xml:space="preserve">Le remplissage du réservoir DEF doit être exécuté exclusivement à l’aide du pistolet automatique auprès des stations-service agréées ; veuillez consulter le manuel de la machine pour les opérations de ravitaillement.</w:t>
            </w:r>
          </w:p>
          <w:p>
            <w:pPr>
              <w:numPr>
                <w:ilvl w:val="0"/>
                <w:numId w:val="1515"/>
              </w:numPr>
              <w:spacing w:before="0" w:after="0" w:line="262" w:lineRule="auto"/>
              <w:jc w:val="left"/>
              <w:rPr>
                <w:color w:val="00274C"/>
                <w:sz w:val="20"/>
                <w:szCs w:val="20"/>
              </w:rPr>
            </w:pPr>
            <w:r>
              <w:rPr>
                <w:color w:val="00274C"/>
                <w:position w:val="-2"/>
                <w:sz w:val="20"/>
                <w:szCs w:val="20"/>
                <w:u w:val="none"/>
              </w:rPr>
              <w:t xml:space="preserve">Lors du ravitaillement, respecter le niveau de MAX présent sur le réservoir.</w:t>
            </w:r>
          </w:p>
          <w:p>
            <w:pPr>
              <w:numPr>
                <w:ilvl w:val="0"/>
                <w:numId w:val="1515"/>
              </w:numPr>
              <w:spacing w:before="0" w:after="0" w:line="262" w:lineRule="auto"/>
              <w:jc w:val="left"/>
              <w:rPr>
                <w:color w:val="00274C"/>
                <w:sz w:val="20"/>
                <w:szCs w:val="20"/>
              </w:rPr>
            </w:pPr>
            <w:r>
              <w:rPr>
                <w:color w:val="00274C"/>
                <w:position w:val="-2"/>
                <w:sz w:val="20"/>
                <w:szCs w:val="20"/>
                <w:u w:val="none"/>
              </w:rPr>
              <w:t xml:space="preserve">Pendant les opérations de ravitaillement, éviter toute entrée d’impuretés dans le réservoir.</w:t>
            </w:r>
          </w:p>
          <w:p>
            <w:pPr>
              <w:numPr>
                <w:ilvl w:val="0"/>
                <w:numId w:val="1515"/>
              </w:numPr>
              <w:spacing w:before="0" w:after="0" w:line="262" w:lineRule="auto"/>
              <w:jc w:val="left"/>
              <w:rPr>
                <w:color w:val="00274C"/>
                <w:sz w:val="20"/>
                <w:szCs w:val="20"/>
              </w:rPr>
            </w:pPr>
            <w:r>
              <w:rPr>
                <w:color w:val="00274C"/>
                <w:position w:val="-2"/>
                <w:sz w:val="20"/>
                <w:szCs w:val="20"/>
                <w:u w:val="none"/>
              </w:rPr>
              <w:t xml:space="preserve">L’entrée du réservoir est dotée d’un filtre devant être périodiquement nettoyé ou remplacé (consulter le tableau d’entretien et remplacement - uniquement pour réservoirs fournis par  </w:t>
            </w:r>
            <w:r>
              <w:rPr>
                <w:b/>
                <w:bCs/>
                <w:color w:val="000000"/>
                <w:position w:val="-2"/>
                <w:sz w:val="20"/>
                <w:szCs w:val="20"/>
                <w:u w:val="none"/>
              </w:rPr>
              <w:t xml:space="preserve">REHLKO</w:t>
            </w:r>
            <w:r>
              <w:rPr>
                <w:color w:val="00274C"/>
                <w:position w:val="-2"/>
                <w:sz w:val="20"/>
                <w:szCs w:val="20"/>
                <w:u w:val="none"/>
              </w:rPr>
              <w:t xml:space="preserve"> ).</w:t>
            </w:r>
          </w:p>
          <w:p>
            <w:pPr>
              <w:numPr>
                <w:ilvl w:val="0"/>
                <w:numId w:val="1515"/>
              </w:numPr>
              <w:spacing w:before="0" w:after="0" w:line="262" w:lineRule="auto"/>
              <w:jc w:val="left"/>
              <w:rPr>
                <w:color w:val="00274C"/>
                <w:sz w:val="20"/>
                <w:szCs w:val="20"/>
              </w:rPr>
            </w:pPr>
            <w:r>
              <w:rPr>
                <w:color w:val="00274C"/>
                <w:position w:val="-2"/>
                <w:sz w:val="20"/>
                <w:szCs w:val="20"/>
                <w:u w:val="none"/>
              </w:rPr>
              <w:t xml:space="preserve">La qualité de l'DEF doit être conforme aux spécifications reportées dans le Tabl. 2.5.</w:t>
            </w:r>
          </w:p>
        </w:tc>
      </w:tr>
      <w:tr>
        <w:trPr>
          <w:trHeight w:val="0" w:hRule="atLeast"/>
        </w:trPr>
        <w:tc>
          <w:tcPr>
            <w:tcW w:w="0" w:type="auto"/>
            <w:gridSpan w:val="3"/>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440651" name="name312469e0fcc2274d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61469e0fcc2274d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Avvertenza</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Ne pas mélanger DEF au carburant ou à d’autres liquides (eau incluse) et ne pas remplir le réservoir de carburant avec deDEF.</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Pour démarrer le moteur il faut que le réservoir spécifique soit rempli de DEF.</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Achat en conteneurs : le conteneur, ouvert aussi, peut être stocké sous les mêmes conditions du conteneur scellé.</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Ne pas stocker le conteneur à une température dépassant 35° car elle pourrait engendrer l’altération de DEF.</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En cas de congélation de DEF à l’intérieur du conteneur (&lt; -11,5 °C | 11,3 °F), DEF pourra être utilisé une fois reporté à l’état liquide.</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Ne pas exposer DEF aux rayons directs du soleil.</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En cas d’ouverture et fermeture du conteneur d’achat d’origine, DEF doit être contrôlé au moyen d’un spectromètre afin d’en évaluer la qualité avant sa réutilisation.</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Ne pas remplir le réservoir DEF altéré car il pourrait en résulter des paramètres d’émissions du moteur non conformes, des erreurs de la centrale DCU et par conséquent l’extinction ou le raté d’allumage du moteur.</w:t>
            </w:r>
          </w:p>
        </w:tc>
      </w:tr>
      <w:tr>
        <w:trPr>
          <w:trHeight w:val="0" w:hRule="atLeast"/>
        </w:trPr>
        <w:tc>
          <w:tcPr>
            <w:tcW w:w="0" w:type="auto"/>
            <w:gridSpan w:val="3"/>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PARAMÈTRES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poids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31,8 ÷ 33,2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à 20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1.087 ÷ 1.093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réfraction à 20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1,3814 ÷ 1,3843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Alcalinité comme NH3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poids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Biuret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poids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Aldéhyde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Insolubles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Phosphates comme PO4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Calcium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Cuivre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Chrome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Nickel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Aluminium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Magnésium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Sodium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Potassium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Point de gel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-11</w:t>
                  </w:r>
                </w:p>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Il est préférable d'utiliser le liquide de refroidissement prémélangé Rehlko Xtended™ contenant 50 % d'éthylène glycol OAT.</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53820010" name="name674669e0fcc2337a8"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380969e0fcc2337a5"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Il est également recommandé d'utiliser des fluides frigorigènes conformes aux spécifications suivantes. </w:t>
            </w:r>
          </w:p>
          <w:p/>
          <w:p/>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KSD: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7804072" name="name877369e0fcc23dff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41469e0fcc23dff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5 ans ou 4000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Batterie non fournie par </w:t>
            </w:r>
            <w:r>
              <w:rPr>
                <w:color w:val="00274C"/>
                <w:position w:val="-2"/>
                <w:sz w:val="20"/>
                <w:szCs w:val="20"/>
                <w:u w:val="none"/>
              </w:rPr>
              <w:t xml:space="preserve"> </w:t>
            </w:r>
            <w:r>
              <w:rPr>
                <w:b/>
                <w:bCs/>
                <w:color w:val="000000"/>
                <w:position w:val="-2"/>
                <w:sz w:val="20"/>
                <w:szCs w:val="20"/>
                <w:u w:val="none"/>
              </w:rPr>
              <w:t xml:space="preserve">REHLKO</w:t>
            </w:r>
          </w:p>
          <w:p/>
          <w:p/>
          <w:p>
            <w:pPr>
              <w:widowControl w:val="on"/>
              <w:pBdr/>
              <w:spacing w:before="0" w:after="0" w:line="262" w:lineRule="auto"/>
              <w:ind w:left="0" w:right="0"/>
              <w:jc w:val="left"/>
              <w:textAlignment w:val="center"/>
            </w:pPr>
            <w:r>
              <w:rPr>
                <w:b/>
                <w:bCs/>
                <w:color w:val="00274C"/>
                <w:position w:val="-2"/>
                <w:sz w:val="20"/>
                <w:szCs w:val="20"/>
                <w:u w:val="none"/>
              </w:rPr>
              <w:t xml:space="preserve">2.6</w:t>
            </w:r>
          </w:p>
          <w:p/>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É</w:t>
                  </w:r>
                  <w:r>
                    <w:rPr>
                      <w:b/>
                      <w:bCs/>
                      <w:color w:val="FFFFFF"/>
                      <w:position w:val="-2"/>
                      <w:sz w:val="20"/>
                      <w:szCs w:val="20"/>
                      <w:u w:val="none"/>
                      <w:shd w:val="clear" w:color="auto" w:fill="00274C"/>
                    </w:rPr>
                    <w:t xml:space="preserve"> MARREUR</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HUILE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CONDITION DE LA MACHINE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3.2kW + HEATER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880CCA SAE (=1000 A (EN)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charges parasites hydrauliques légères ou embrayage et boîte de vitesse mécanique </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4.2kW + HEATER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1000CCA SAE =(1250 A (EN)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charges parasites hydrauliques lourdes </w:t>
                  </w:r>
                </w:p>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Stratégie Inducement du système ATS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L’inducement consiste dans la réduction des performances du moteur suite à la détection par la centrale DCU d’un dysfonctionnement ou une altération du système ATS.</w:t>
            </w:r>
            <w:r>
              <w:rPr>
                <w:color w:val="00274C"/>
                <w:position w:val="-2"/>
                <w:sz w:val="20"/>
                <w:szCs w:val="20"/>
                <w:u w:val="none"/>
              </w:rPr>
              <w:br/>
              <w:br/>
              <w:t xml:space="preserve">Le niveau d’Inducement est établi par la centrale ECU en fonction de l’erreur détectée par la DCU.</w:t>
            </w:r>
            <w:r>
              <w:rPr>
                <w:color w:val="00274C"/>
                <w:position w:val="-2"/>
                <w:sz w:val="20"/>
                <w:szCs w:val="20"/>
                <w:u w:val="none"/>
              </w:rPr>
              <w:br/>
              <w:br/>
              <w:br/>
              <w:br/>
              <w:t xml:space="preserve">L’information affichée sur le tableau machine ou l’activation de l'Inducement peut avoir les raisons suivantes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Niveau DEF insuffisant</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Mauvaise qualité de DEF</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Coupure du dosage de DEF</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Dysfonctionnement de la soupape EGR</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Altération des dispositifs de surveillance du système ATS.</w:t>
            </w:r>
          </w:p>
          <w:p>
            <w:pPr>
              <w:widowControl w:val="on"/>
              <w:pBdr/>
              <w:spacing w:before="0" w:after="0" w:line="240" w:lineRule="auto"/>
              <w:ind w:left="0" w:right="0"/>
              <w:jc w:val="left"/>
            </w:pPr>
            <w:r>
              <w:rPr>
                <w:color w:val="00274C"/>
                <w:position w:val="-2"/>
                <w:sz w:val="20"/>
                <w:szCs w:val="20"/>
                <w:u w:val="none"/>
              </w:rPr>
              <w:t xml:space="preserve">
La stratégie de l’Inducement est appliquée en fonction :</w:t>
            </w:r>
          </w:p>
          <w:p>
            <w:pPr>
              <w:numPr>
                <w:ilvl w:val="0"/>
                <w:numId w:val="1512"/>
              </w:numPr>
              <w:spacing w:before="0" w:after="0" w:line="262" w:lineRule="auto"/>
              <w:jc w:val="left"/>
              <w:rPr>
                <w:color w:val="00274C"/>
                <w:sz w:val="20"/>
                <w:szCs w:val="20"/>
              </w:rPr>
            </w:pPr>
            <w:r>
              <w:rPr>
                <w:color w:val="00274C"/>
                <w:position w:val="-2"/>
                <w:sz w:val="20"/>
                <w:szCs w:val="20"/>
                <w:u w:val="none"/>
              </w:rPr>
              <w:br/>
              <w:t xml:space="preserve">du problème constaté</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des heures écoulées.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 : les heures sont mises à zéro après 40h sans que la DCU ne détecte d’anomalies, dans le cas contraire les heures vont s’ajouter à celles précédentes déjà comptées. En cas de niveau insuffisant DEF, l’activation a lieu en fonction du pourcentage de liquide présent dans le réservoir DEF ; les heures d’anomalie ne sont pas prises en compte.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Par la suite on décrit la stratégie selon les différentes anomalies (Stage V - EU):</w:t>
            </w:r>
          </w:p>
          <w:p/>
          <w:p/>
          <w:p>
            <w:pPr>
              <w:widowControl w:val="on"/>
              <w:pBdr/>
              <w:spacing w:before="0" w:after="0" w:line="262" w:lineRule="auto"/>
              <w:ind w:left="0" w:right="0"/>
              <w:jc w:val="left"/>
              <w:textAlignment w:val="center"/>
            </w:pPr>
            <w:r>
              <w:rPr>
                <w:color w:val="00274C"/>
                <w:position w:val="-2"/>
                <w:sz w:val="20"/>
                <w:szCs w:val="20"/>
                <w:u w:val="none"/>
              </w:rPr>
              <w:t xml:space="preserve">L'Inducement peut avoir 2 niveaux, listés ci-dessous :</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réduction de 25 % du couple MAX disponible.</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réduction de 50 % du couple MAX disponible et réduction de 40 % des tours MAX disponibles.</w:t>
            </w:r>
          </w:p>
          <w:p>
            <w:pPr>
              <w:widowControl w:val="on"/>
              <w:pBdr/>
              <w:spacing w:before="0" w:after="0" w:line="240" w:lineRule="auto"/>
              <w:ind w:left="0" w:right="0"/>
              <w:jc w:val="left"/>
            </w:pPr>
            <w:r>
              <w:rPr>
                <w:color w:val="00274C"/>
                <w:position w:val="-2"/>
                <w:sz w:val="20"/>
                <w:szCs w:val="20"/>
                <w:u w:val="none"/>
              </w:rPr>
              <w:t xml:space="preserve">
Avant l’activation de l'Inducement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ou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la centrale ECU active un avertissement ou un témoin sur le tableau machine (consulter la documentation de la machine pour les types d’avertissement).
</w:t>
            </w:r>
          </w:p>
          <w:p>
            <w:pPr>
              <w:widowControl w:val="on"/>
              <w:pBdr/>
              <w:spacing w:before="0" w:after="0" w:line="262" w:lineRule="auto"/>
              <w:ind w:left="0" w:right="0"/>
              <w:jc w:val="left"/>
              <w:textAlignment w:val="center"/>
            </w:pPr>
            <w:r>
              <w:rPr>
                <w:b/>
                <w:bCs/>
                <w:i/>
                <w:iCs/>
                <w:color w:val="00274C"/>
                <w:position w:val="-2"/>
                <w:sz w:val="20"/>
                <w:szCs w:val="20"/>
                <w:u w:val="none"/>
              </w:rPr>
              <w:br/>
              <w:t xml:space="preserve">Niveau DEF</w:t>
            </w:r>
            <w:r>
              <w:rPr>
                <w:color w:val="00274C"/>
                <w:position w:val="-2"/>
                <w:sz w:val="20"/>
                <w:szCs w:val="20"/>
                <w:u w:val="none"/>
              </w:rPr>
              <w:t xml:space="preserve"> </w:t>
            </w:r>
            <w:r>
              <w:rPr>
                <w:b/>
                <w:bCs/>
                <w:i/>
                <w:iCs/>
                <w:color w:val="00274C"/>
                <w:position w:val="-2"/>
                <w:sz w:val="20"/>
                <w:szCs w:val="20"/>
                <w:u w:val="none"/>
              </w:rPr>
              <w:t xml:space="preserve">insuffisant</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affichage de l’information sur le tableau machine :</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Inducement de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&lt;2.5% du niveau MAX</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Inducement de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0% du niveau MAX</w:t>
            </w:r>
          </w:p>
          <w:p>
            <w:pPr>
              <w:widowControl w:val="on"/>
              <w:pBdr/>
              <w:spacing w:before="0" w:after="0" w:line="240" w:lineRule="auto"/>
              <w:ind w:left="0" w:right="0"/>
              <w:jc w:val="left"/>
            </w:pPr>
            <w:r>
              <w:rPr>
                <w:b/>
                <w:bCs/>
                <w:i/>
                <w:iCs/>
                <w:color w:val="00274C"/>
                <w:position w:val="-2"/>
                <w:sz w:val="20"/>
                <w:szCs w:val="20"/>
                <w:u w:val="none"/>
              </w:rPr>
              <w:t xml:space="preserve">Mauvaise qualité de DEF</w:t>
            </w:r>
          </w:p>
          <w:p>
            <w:pPr>
              <w:numPr>
                <w:ilvl w:val="0"/>
                <w:numId w:val="1512"/>
              </w:numPr>
              <w:spacing w:before="0" w:after="0" w:line="262" w:lineRule="auto"/>
              <w:jc w:val="left"/>
              <w:rPr>
                <w:color w:val="00274C"/>
                <w:sz w:val="20"/>
                <w:szCs w:val="20"/>
              </w:rPr>
            </w:pPr>
            <w:r>
              <w:rPr>
                <w:color w:val="00274C"/>
                <w:position w:val="-2"/>
                <w:sz w:val="20"/>
                <w:szCs w:val="20"/>
                <w:u w:val="none"/>
              </w:rPr>
              <w:br/>
              <w:t xml:space="preserve">affichage de l’information sur le tableau machine : lors de la détection de l’anomalie</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Inducement de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10h après la détection de l’anomalie</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Inducement de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20h après la détection de l’anomalie</w:t>
            </w:r>
          </w:p>
          <w:p>
            <w:pPr>
              <w:widowControl w:val="on"/>
              <w:pBdr/>
              <w:spacing w:before="0" w:after="0" w:line="240" w:lineRule="auto"/>
              <w:ind w:left="0" w:right="0"/>
              <w:jc w:val="left"/>
            </w:pPr>
            <w:r>
              <w:rPr>
                <w:b/>
                <w:bCs/>
                <w:i/>
                <w:iCs/>
                <w:color w:val="00274C"/>
                <w:position w:val="-2"/>
                <w:sz w:val="20"/>
                <w:szCs w:val="20"/>
                <w:u w:val="none"/>
              </w:rPr>
              <w:t xml:space="preserve">Coupure du dosage de DEF</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affichage de l’information sur le tableau machine : lors de la détection de l’anomalie</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Inducement de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10h après la détection de l’anomalie</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Inducement de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20h après la détection de l’anomalie</w:t>
            </w:r>
          </w:p>
          <w:p>
            <w:pPr>
              <w:widowControl w:val="on"/>
              <w:pBdr/>
              <w:spacing w:before="0" w:after="0" w:line="240" w:lineRule="auto"/>
              <w:ind w:left="0" w:right="0"/>
              <w:jc w:val="left"/>
            </w:pPr>
            <w:r>
              <w:rPr>
                <w:b/>
                <w:bCs/>
                <w:i/>
                <w:iCs/>
                <w:color w:val="00274C"/>
                <w:position w:val="-2"/>
                <w:sz w:val="20"/>
                <w:szCs w:val="20"/>
                <w:u w:val="none"/>
              </w:rPr>
              <w:t xml:space="preserve">Dysfonctionnement de la soupape EGR</w:t>
            </w:r>
          </w:p>
          <w:p>
            <w:pPr>
              <w:numPr>
                <w:ilvl w:val="0"/>
                <w:numId w:val="1512"/>
              </w:numPr>
              <w:spacing w:before="0" w:after="0" w:line="262" w:lineRule="auto"/>
              <w:jc w:val="left"/>
              <w:rPr>
                <w:color w:val="00274C"/>
                <w:sz w:val="20"/>
                <w:szCs w:val="20"/>
              </w:rPr>
            </w:pPr>
            <w:r>
              <w:rPr>
                <w:color w:val="00274C"/>
                <w:position w:val="-2"/>
                <w:sz w:val="20"/>
                <w:szCs w:val="20"/>
                <w:u w:val="none"/>
              </w:rPr>
              <w:br/>
              <w:t xml:space="preserve">affichage de l’information sur le tableau machine : lors de la détection de l’anomalie</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Inducement de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36h après la détection de l’anomalie</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Inducement de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100h après la détection de l’anomalie</w:t>
            </w:r>
          </w:p>
          <w:p>
            <w:pPr>
              <w:widowControl w:val="on"/>
              <w:pBdr/>
              <w:spacing w:before="0" w:after="0" w:line="240" w:lineRule="auto"/>
              <w:ind w:left="0" w:right="0"/>
              <w:jc w:val="left"/>
            </w:pPr>
            <w:r>
              <w:rPr>
                <w:b/>
                <w:bCs/>
                <w:i/>
                <w:iCs/>
                <w:color w:val="00274C"/>
                <w:position w:val="-2"/>
                <w:sz w:val="20"/>
                <w:szCs w:val="20"/>
                <w:u w:val="none"/>
              </w:rPr>
              <w:t xml:space="preserve">Altération des dispositifs de surveillance du système ATS</w:t>
            </w:r>
          </w:p>
          <w:p>
            <w:pPr>
              <w:numPr>
                <w:ilvl w:val="0"/>
                <w:numId w:val="1512"/>
              </w:numPr>
              <w:spacing w:before="0" w:after="0" w:line="262" w:lineRule="auto"/>
              <w:jc w:val="left"/>
              <w:rPr>
                <w:color w:val="00274C"/>
                <w:sz w:val="20"/>
                <w:szCs w:val="20"/>
              </w:rPr>
            </w:pPr>
            <w:r>
              <w:rPr>
                <w:color w:val="00274C"/>
                <w:position w:val="-2"/>
                <w:sz w:val="20"/>
                <w:szCs w:val="20"/>
                <w:u w:val="none"/>
              </w:rPr>
              <w:br/>
              <w:t xml:space="preserve">affichage de l’information sur le tableau machine : lors de la détection de l’anomalie</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Inducement de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36h après la détection de l’anomalie</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Inducement de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100h après la détection de l’anomalie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Par la suite on décrit la stratégie selon les différentes anomalies (Tier 4 Final - USA):</w:t>
            </w:r>
          </w:p>
          <w:p/>
          <w:p/>
          <w:p>
            <w:pPr>
              <w:widowControl w:val="on"/>
              <w:pBdr/>
              <w:spacing w:before="0" w:after="0" w:line="262" w:lineRule="auto"/>
              <w:ind w:left="0" w:right="0"/>
              <w:jc w:val="left"/>
              <w:textAlignment w:val="center"/>
            </w:pPr>
            <w:r>
              <w:rPr>
                <w:color w:val="00274C"/>
                <w:position w:val="-2"/>
                <w:sz w:val="20"/>
                <w:szCs w:val="20"/>
                <w:u w:val="none"/>
              </w:rPr>
              <w:t xml:space="preserve">L'Inducement peut avoir 3 niveaux, listés ci-dessous :</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réduction de 25 % du couple MAX disponible.</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réduction de 50 % du couple MAX disponible et réduction de 40 % des tours MAX disponibles.</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3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le moteur fonctionne au régime minimum et au couple MAX</w:t>
            </w:r>
          </w:p>
          <w:p>
            <w:pPr>
              <w:widowControl w:val="on"/>
              <w:pBdr/>
              <w:spacing w:before="0" w:after="0" w:line="240" w:lineRule="auto"/>
              <w:ind w:left="0" w:right="0"/>
              <w:jc w:val="left"/>
            </w:pPr>
            <w:r>
              <w:rPr>
                <w:color w:val="00274C"/>
                <w:position w:val="-2"/>
                <w:sz w:val="20"/>
                <w:szCs w:val="20"/>
                <w:u w:val="none"/>
              </w:rPr>
              <w:t xml:space="preserve">
Avant l’activation de l'Inducement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ou 3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la centrale ECU active un avertissement ou un témoin sur le tableau machine (consulter la documentation de la machine pour les types d’avertissement).
</w:t>
            </w:r>
          </w:p>
          <w:p>
            <w:pPr>
              <w:widowControl w:val="on"/>
              <w:pBdr/>
              <w:spacing w:before="0" w:after="0" w:line="262" w:lineRule="auto"/>
              <w:ind w:left="0" w:right="0"/>
              <w:jc w:val="left"/>
              <w:textAlignment w:val="center"/>
            </w:pPr>
            <w:r>
              <w:rPr>
                <w:b/>
                <w:bCs/>
                <w:i/>
                <w:iCs/>
                <w:color w:val="00274C"/>
                <w:position w:val="-2"/>
                <w:sz w:val="20"/>
                <w:szCs w:val="20"/>
                <w:u w:val="none"/>
              </w:rPr>
              <w:br/>
              <w:t xml:space="preserve">Niveau DEF</w:t>
            </w:r>
            <w:r>
              <w:rPr>
                <w:color w:val="00274C"/>
                <w:position w:val="-2"/>
                <w:sz w:val="20"/>
                <w:szCs w:val="20"/>
                <w:u w:val="none"/>
              </w:rPr>
              <w:t xml:space="preserve"> </w:t>
            </w:r>
            <w:r>
              <w:rPr>
                <w:b/>
                <w:bCs/>
                <w:i/>
                <w:iCs/>
                <w:color w:val="00274C"/>
                <w:position w:val="-2"/>
                <w:sz w:val="20"/>
                <w:szCs w:val="20"/>
                <w:u w:val="none"/>
              </w:rPr>
              <w:t xml:space="preserve">insuffisant</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affichage de l’information sur le tableau machine :</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Inducement de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&lt;5% du niveau MAX</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Inducement de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&lt;2.5% du niveau MAX</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Inducement de 3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&lt;0.5% du niveau MAX</w:t>
            </w:r>
          </w:p>
          <w:p>
            <w:pPr>
              <w:widowControl w:val="on"/>
              <w:pBdr/>
              <w:spacing w:before="0" w:after="0" w:line="240" w:lineRule="auto"/>
              <w:ind w:left="0" w:right="0"/>
              <w:jc w:val="left"/>
            </w:pPr>
            <w:r>
              <w:rPr>
                <w:b/>
                <w:bCs/>
                <w:i/>
                <w:iCs/>
                <w:color w:val="00274C"/>
                <w:position w:val="-2"/>
                <w:sz w:val="20"/>
                <w:szCs w:val="20"/>
                <w:u w:val="none"/>
              </w:rPr>
              <w:t xml:space="preserve">Mauvaise qualité de DEF</w:t>
            </w:r>
          </w:p>
          <w:p>
            <w:pPr>
              <w:numPr>
                <w:ilvl w:val="0"/>
                <w:numId w:val="1512"/>
              </w:numPr>
              <w:spacing w:before="0" w:after="0" w:line="262" w:lineRule="auto"/>
              <w:jc w:val="left"/>
              <w:rPr>
                <w:color w:val="00274C"/>
                <w:sz w:val="20"/>
                <w:szCs w:val="20"/>
              </w:rPr>
            </w:pPr>
            <w:r>
              <w:rPr>
                <w:color w:val="00274C"/>
                <w:position w:val="-2"/>
                <w:sz w:val="20"/>
                <w:szCs w:val="20"/>
                <w:u w:val="none"/>
              </w:rPr>
              <w:br/>
              <w:t xml:space="preserve">affichage de l’information sur le tableau machine : lors de la détection de l’anomalie</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Inducement de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1h après la détection de l’anomalie</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Inducement de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2h après la détection de l’anomalie</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Inducement de 3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3h après la détection de l’anomalie</w:t>
            </w:r>
          </w:p>
          <w:p>
            <w:pPr>
              <w:widowControl w:val="on"/>
              <w:pBdr/>
              <w:spacing w:before="0" w:after="0" w:line="240" w:lineRule="auto"/>
              <w:ind w:left="0" w:right="0"/>
              <w:jc w:val="left"/>
            </w:pPr>
            <w:r>
              <w:rPr>
                <w:b/>
                <w:bCs/>
                <w:i/>
                <w:iCs/>
                <w:color w:val="00274C"/>
                <w:position w:val="-2"/>
                <w:sz w:val="20"/>
                <w:szCs w:val="20"/>
                <w:u w:val="none"/>
              </w:rPr>
              <w:t xml:space="preserve">Coupure du dosage de DEF</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affichage de l’information sur le tableau machine : lors de la détection de l’anomalie</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Inducement de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1h après la détection de l’anomalie</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Inducement de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2h après la détection de l’anomalie</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Inducement de 3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3h après la détection de l’anomalie</w:t>
            </w:r>
          </w:p>
          <w:p>
            <w:pPr>
              <w:widowControl w:val="on"/>
              <w:pBdr/>
              <w:spacing w:before="0" w:after="0" w:line="240" w:lineRule="auto"/>
              <w:ind w:left="0" w:right="0"/>
              <w:jc w:val="left"/>
            </w:pPr>
            <w:r>
              <w:rPr>
                <w:b/>
                <w:bCs/>
                <w:i/>
                <w:iCs/>
                <w:color w:val="00274C"/>
                <w:position w:val="-2"/>
                <w:sz w:val="20"/>
                <w:szCs w:val="20"/>
                <w:u w:val="none"/>
              </w:rPr>
              <w:t xml:space="preserve">Dysfonctionnement de la soupape EGR</w:t>
            </w:r>
          </w:p>
          <w:p>
            <w:pPr>
              <w:numPr>
                <w:ilvl w:val="0"/>
                <w:numId w:val="1512"/>
              </w:numPr>
              <w:spacing w:before="0" w:after="0" w:line="262" w:lineRule="auto"/>
              <w:jc w:val="left"/>
              <w:rPr>
                <w:color w:val="00274C"/>
                <w:sz w:val="20"/>
                <w:szCs w:val="20"/>
              </w:rPr>
            </w:pPr>
            <w:r>
              <w:rPr>
                <w:color w:val="00274C"/>
                <w:position w:val="-2"/>
                <w:sz w:val="20"/>
                <w:szCs w:val="20"/>
                <w:u w:val="none"/>
              </w:rPr>
              <w:br/>
              <w:t xml:space="preserve">affichage de l’information sur le tableau machine : lors de la détection de l’anomalie</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Inducement de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1h après la détection de l’anomalie</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Inducement de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2h après la détection de l’anomalie</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Inducement de 3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3h après la détection de l’anomalie</w:t>
            </w:r>
          </w:p>
          <w:p>
            <w:pPr>
              <w:widowControl w:val="on"/>
              <w:pBdr/>
              <w:spacing w:before="0" w:after="0" w:line="240" w:lineRule="auto"/>
              <w:ind w:left="0" w:right="0"/>
              <w:jc w:val="left"/>
            </w:pPr>
            <w:r>
              <w:rPr>
                <w:b/>
                <w:bCs/>
                <w:i/>
                <w:iCs/>
                <w:color w:val="00274C"/>
                <w:position w:val="-2"/>
                <w:sz w:val="20"/>
                <w:szCs w:val="20"/>
                <w:u w:val="none"/>
              </w:rPr>
              <w:t xml:space="preserve">Altération des dispositifs de surveillance du système ATS</w:t>
            </w:r>
          </w:p>
          <w:p>
            <w:pPr>
              <w:numPr>
                <w:ilvl w:val="0"/>
                <w:numId w:val="1512"/>
              </w:numPr>
              <w:spacing w:before="0" w:after="0" w:line="262" w:lineRule="auto"/>
              <w:jc w:val="left"/>
              <w:rPr>
                <w:color w:val="00274C"/>
                <w:sz w:val="20"/>
                <w:szCs w:val="20"/>
              </w:rPr>
            </w:pPr>
            <w:r>
              <w:rPr>
                <w:color w:val="00274C"/>
                <w:position w:val="-2"/>
                <w:sz w:val="20"/>
                <w:szCs w:val="20"/>
                <w:u w:val="none"/>
              </w:rPr>
              <w:br/>
              <w:t xml:space="preserve">affichage de l’information sur le tableau machine : lors de la détection de l’anomalie</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Inducement de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1h après la détection de l’anomalie</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Inducement de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2h après la détection de l’anomalie</w:t>
            </w:r>
          </w:p>
          <w:p>
            <w:pPr>
              <w:numPr>
                <w:ilvl w:val="0"/>
                <w:numId w:val="1512"/>
              </w:numPr>
              <w:spacing w:before="0" w:after="0" w:line="262" w:lineRule="auto"/>
              <w:jc w:val="left"/>
              <w:rPr>
                <w:color w:val="00274C"/>
                <w:sz w:val="20"/>
                <w:szCs w:val="20"/>
              </w:rPr>
            </w:pPr>
            <w:r>
              <w:rPr>
                <w:color w:val="00274C"/>
                <w:position w:val="-2"/>
                <w:sz w:val="20"/>
                <w:szCs w:val="20"/>
                <w:u w:val="none"/>
              </w:rPr>
              <w:t xml:space="preserve">Inducement de 3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3h après la détection de l’anomalie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Tableau de commande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Dans le </w:t>
            </w:r>
            <w:r>
              <w:rPr>
                <w:b/>
                <w:bCs/>
                <w:color w:val="00274C"/>
                <w:position w:val="-2"/>
                <w:sz w:val="20"/>
                <w:szCs w:val="20"/>
                <w:u w:val="none"/>
              </w:rPr>
              <w:t xml:space="preserve">Tab. 2.8</w:t>
            </w:r>
            <w:r>
              <w:rPr>
                <w:color w:val="00274C"/>
                <w:position w:val="-2"/>
                <w:sz w:val="20"/>
                <w:szCs w:val="20"/>
                <w:u w:val="none"/>
              </w:rPr>
              <w:t xml:space="preserve">  sont indiqués les composants du tableau de commande.
</w:t>
            </w:r>
          </w:p>
          <w:p>
            <w:pPr>
              <w:widowControl w:val="on"/>
              <w:pBdr/>
              <w:spacing w:before="0" w:after="0" w:line="262" w:lineRule="auto"/>
              <w:ind w:left="0" w:right="0"/>
              <w:jc w:val="left"/>
              <w:textAlignment w:val="center"/>
            </w:pPr>
            <w:r>
              <w:rPr>
                <w:b/>
                <w:bCs/>
                <w:color w:val="00274C"/>
                <w:position w:val="-2"/>
                <w:sz w:val="20"/>
                <w:szCs w:val="20"/>
                <w:u w:val="none"/>
              </w:rPr>
              <w:b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d'allumage du tableau et moteur avec clé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Écran pour consultation des données ou des erreurs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fléché de navigation dans le menu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fléché de navigation dans le menu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de sélection ou saisie des données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d'état de fonctionnement du moteur (verte = aucun problème rencontré)</w:t>
                  </w:r>
                </w:p>
              </w:tc>
            </w:tr>
          </w:tbl>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1596759" name="name390269e0fcc24f769" descr="Cap_2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png"/>
                          <pic:cNvPicPr/>
                        </pic:nvPicPr>
                        <pic:blipFill>
                          <a:blip r:embed="rId996669e0fcc24f766"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si la LED </w:t>
            </w:r>
            <w:r>
              <w:rPr>
                <w:b/>
                <w:bCs/>
                <w:color w:val="00274C"/>
                <w:position w:val="-2"/>
                <w:sz w:val="20"/>
                <w:szCs w:val="20"/>
                <w:u w:val="none"/>
              </w:rPr>
              <w:t xml:space="preserve">F</w:t>
            </w:r>
            <w:r>
              <w:rPr>
                <w:color w:val="00274C"/>
                <w:position w:val="-2"/>
                <w:sz w:val="20"/>
                <w:szCs w:val="20"/>
                <w:u w:val="none"/>
              </w:rPr>
              <w:t xml:space="preserve"> est allumée en rouge, consulter les ateliers autorisés  </w:t>
            </w:r>
            <w:r>
              <w:rPr>
                <w:b/>
                <w:bCs/>
                <w:color w:val="000000"/>
                <w:position w:val="-2"/>
                <w:sz w:val="20"/>
                <w:szCs w:val="20"/>
                <w:u w:val="none"/>
              </w:rPr>
              <w:t xml:space="preserve">REHLKO </w:t>
            </w:r>
            <w:r>
              <w:rPr>
                <w:color w:val="00274C"/>
                <w:position w:val="-2"/>
                <w:sz w:val="20"/>
                <w:szCs w:val="20"/>
                <w:u w:val="none"/>
              </w:rPr>
              <w:t xml:space="preserve"> pour connaître le type de problème. Pour certains problèmes, l'arrêt automatique du moteur se déclenche.</w:t>
            </w:r>
          </w:p>
          <w:p/>
          <w:p/>
          <w:p>
            <w:pPr>
              <w:widowControl w:val="on"/>
              <w:pBdr/>
              <w:spacing w:before="0" w:after="0" w:line="262" w:lineRule="auto"/>
              <w:ind w:left="0" w:right="0"/>
              <w:jc w:val="left"/>
              <w:textAlignment w:val="center"/>
            </w:pPr>
            <w:r>
              <w:rPr>
                <w:color w:val="00274C"/>
                <w:position w:val="-2"/>
                <w:sz w:val="20"/>
                <w:szCs w:val="20"/>
                <w:u w:val="none"/>
              </w:rPr>
              <w:t xml:space="preserve">Le </w:t>
            </w:r>
            <w:r>
              <w:rPr>
                <w:b/>
                <w:bCs/>
                <w:color w:val="00274C"/>
                <w:position w:val="-2"/>
                <w:sz w:val="20"/>
                <w:szCs w:val="20"/>
                <w:u w:val="none"/>
              </w:rPr>
              <w:t xml:space="preserve">Tab. 2.9</w:t>
            </w:r>
            <w:r>
              <w:rPr>
                <w:color w:val="00274C"/>
                <w:position w:val="-2"/>
                <w:sz w:val="20"/>
                <w:szCs w:val="20"/>
                <w:u w:val="none"/>
              </w:rPr>
              <w:t xml:space="preserve">  indique les données qu'il est possible de consulter à l'écran </w:t>
            </w:r>
            <w:r>
              <w:rPr>
                <w:b/>
                <w:bCs/>
                <w:color w:val="00274C"/>
                <w:position w:val="-2"/>
                <w:sz w:val="20"/>
                <w:szCs w:val="20"/>
                <w:u w:val="none"/>
              </w:rPr>
              <w:t xml:space="preserve">B</w:t>
            </w:r>
            <w:r>
              <w:rPr>
                <w:color w:val="00274C"/>
                <w:position w:val="-2"/>
                <w:sz w:val="20"/>
                <w:szCs w:val="20"/>
                <w:u w:val="none"/>
              </w:rPr>
              <w:t xml:space="preserve"> en appuyant sur les boutons </w:t>
            </w:r>
            <w:r>
              <w:rPr>
                <w:b/>
                <w:bCs/>
                <w:color w:val="00274C"/>
                <w:position w:val="-2"/>
                <w:sz w:val="20"/>
                <w:szCs w:val="20"/>
                <w:u w:val="none"/>
              </w:rPr>
              <w:t xml:space="preserve">C</w:t>
            </w:r>
            <w:r>
              <w:rPr>
                <w:color w:val="00274C"/>
                <w:position w:val="-2"/>
                <w:sz w:val="20"/>
                <w:szCs w:val="20"/>
                <w:u w:val="none"/>
              </w:rPr>
              <w:t xml:space="preserve"> ou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les données décrites dans le </w:t>
            </w:r>
            <w:r>
              <w:rPr>
                <w:b/>
                <w:bCs/>
                <w:color w:val="00274C"/>
                <w:position w:val="-2"/>
                <w:sz w:val="20"/>
                <w:szCs w:val="20"/>
                <w:u w:val="none"/>
              </w:rPr>
              <w:t xml:space="preserve">Tab. 2.9</w:t>
            </w:r>
            <w:r>
              <w:rPr>
                <w:color w:val="00274C"/>
                <w:position w:val="-2"/>
                <w:sz w:val="20"/>
                <w:szCs w:val="20"/>
                <w:u w:val="none"/>
              </w:rPr>
              <w:t xml:space="preserve">  peuvent être différentes; dans ce cas, consulter le manuel de la machine.</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Heures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Heures restantes jusqu'à l'entretien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huile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utilisé @ rpm (% d'utilisation)</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515">
    <w:multiLevelType w:val="hybridMultilevel"/>
    <w:lvl w:ilvl="0" w:tplc="86584635">
      <w:start w:val="1"/>
      <w:numFmt w:val="decimal"/>
      <w:lvlText w:val="%1."/>
      <w:lvlJc w:val="left"/>
      <w:pPr>
        <w:ind w:left="720" w:hanging="360"/>
      </w:pPr>
    </w:lvl>
    <w:lvl w:ilvl="1" w:tplc="86584635" w:tentative="1">
      <w:start w:val="1"/>
      <w:numFmt w:val="lowerLetter"/>
      <w:lvlText w:val="%2."/>
      <w:lvlJc w:val="left"/>
      <w:pPr>
        <w:ind w:left="1440" w:hanging="360"/>
      </w:pPr>
    </w:lvl>
    <w:lvl w:ilvl="2" w:tplc="86584635" w:tentative="1">
      <w:start w:val="1"/>
      <w:numFmt w:val="lowerRoman"/>
      <w:lvlText w:val="%3."/>
      <w:lvlJc w:val="right"/>
      <w:pPr>
        <w:ind w:left="2160" w:hanging="180"/>
      </w:pPr>
    </w:lvl>
    <w:lvl w:ilvl="3" w:tplc="86584635" w:tentative="1">
      <w:start w:val="1"/>
      <w:numFmt w:val="decimal"/>
      <w:lvlText w:val="%4."/>
      <w:lvlJc w:val="left"/>
      <w:pPr>
        <w:ind w:left="2880" w:hanging="360"/>
      </w:pPr>
    </w:lvl>
    <w:lvl w:ilvl="4" w:tplc="86584635" w:tentative="1">
      <w:start w:val="1"/>
      <w:numFmt w:val="lowerLetter"/>
      <w:lvlText w:val="%5."/>
      <w:lvlJc w:val="left"/>
      <w:pPr>
        <w:ind w:left="3600" w:hanging="360"/>
      </w:pPr>
    </w:lvl>
    <w:lvl w:ilvl="5" w:tplc="86584635" w:tentative="1">
      <w:start w:val="1"/>
      <w:numFmt w:val="lowerRoman"/>
      <w:lvlText w:val="%6."/>
      <w:lvlJc w:val="right"/>
      <w:pPr>
        <w:ind w:left="4320" w:hanging="180"/>
      </w:pPr>
    </w:lvl>
    <w:lvl w:ilvl="6" w:tplc="86584635" w:tentative="1">
      <w:start w:val="1"/>
      <w:numFmt w:val="decimal"/>
      <w:lvlText w:val="%7."/>
      <w:lvlJc w:val="left"/>
      <w:pPr>
        <w:ind w:left="5040" w:hanging="360"/>
      </w:pPr>
    </w:lvl>
    <w:lvl w:ilvl="7" w:tplc="86584635" w:tentative="1">
      <w:start w:val="1"/>
      <w:numFmt w:val="lowerLetter"/>
      <w:lvlText w:val="%8."/>
      <w:lvlJc w:val="left"/>
      <w:pPr>
        <w:ind w:left="5760" w:hanging="360"/>
      </w:pPr>
    </w:lvl>
    <w:lvl w:ilvl="8" w:tplc="86584635" w:tentative="1">
      <w:start w:val="1"/>
      <w:numFmt w:val="lowerRoman"/>
      <w:lvlText w:val="%9."/>
      <w:lvlJc w:val="right"/>
      <w:pPr>
        <w:ind w:left="6480" w:hanging="180"/>
      </w:pPr>
    </w:lvl>
  </w:abstractNum>
  <w:abstractNum w:abstractNumId="1514">
    <w:multiLevelType w:val="hybridMultilevel"/>
    <w:lvl w:ilvl="0" w:tplc="79429850">
      <w:start w:val="1"/>
      <w:numFmt w:val="decimal"/>
      <w:lvlText w:val="%1."/>
      <w:lvlJc w:val="left"/>
      <w:pPr>
        <w:ind w:left="720" w:hanging="360"/>
      </w:pPr>
    </w:lvl>
    <w:lvl w:ilvl="1" w:tplc="79429850" w:tentative="1">
      <w:start w:val="1"/>
      <w:numFmt w:val="lowerLetter"/>
      <w:lvlText w:val="%2."/>
      <w:lvlJc w:val="left"/>
      <w:pPr>
        <w:ind w:left="1440" w:hanging="360"/>
      </w:pPr>
    </w:lvl>
    <w:lvl w:ilvl="2" w:tplc="79429850" w:tentative="1">
      <w:start w:val="1"/>
      <w:numFmt w:val="lowerRoman"/>
      <w:lvlText w:val="%3."/>
      <w:lvlJc w:val="right"/>
      <w:pPr>
        <w:ind w:left="2160" w:hanging="180"/>
      </w:pPr>
    </w:lvl>
    <w:lvl w:ilvl="3" w:tplc="79429850" w:tentative="1">
      <w:start w:val="1"/>
      <w:numFmt w:val="decimal"/>
      <w:lvlText w:val="%4."/>
      <w:lvlJc w:val="left"/>
      <w:pPr>
        <w:ind w:left="2880" w:hanging="360"/>
      </w:pPr>
    </w:lvl>
    <w:lvl w:ilvl="4" w:tplc="79429850" w:tentative="1">
      <w:start w:val="1"/>
      <w:numFmt w:val="lowerLetter"/>
      <w:lvlText w:val="%5."/>
      <w:lvlJc w:val="left"/>
      <w:pPr>
        <w:ind w:left="3600" w:hanging="360"/>
      </w:pPr>
    </w:lvl>
    <w:lvl w:ilvl="5" w:tplc="79429850" w:tentative="1">
      <w:start w:val="1"/>
      <w:numFmt w:val="lowerRoman"/>
      <w:lvlText w:val="%6."/>
      <w:lvlJc w:val="right"/>
      <w:pPr>
        <w:ind w:left="4320" w:hanging="180"/>
      </w:pPr>
    </w:lvl>
    <w:lvl w:ilvl="6" w:tplc="79429850" w:tentative="1">
      <w:start w:val="1"/>
      <w:numFmt w:val="decimal"/>
      <w:lvlText w:val="%7."/>
      <w:lvlJc w:val="left"/>
      <w:pPr>
        <w:ind w:left="5040" w:hanging="360"/>
      </w:pPr>
    </w:lvl>
    <w:lvl w:ilvl="7" w:tplc="79429850" w:tentative="1">
      <w:start w:val="1"/>
      <w:numFmt w:val="lowerLetter"/>
      <w:lvlText w:val="%8."/>
      <w:lvlJc w:val="left"/>
      <w:pPr>
        <w:ind w:left="5760" w:hanging="360"/>
      </w:pPr>
    </w:lvl>
    <w:lvl w:ilvl="8" w:tplc="79429850" w:tentative="1">
      <w:start w:val="1"/>
      <w:numFmt w:val="lowerRoman"/>
      <w:lvlText w:val="%9."/>
      <w:lvlJc w:val="right"/>
      <w:pPr>
        <w:ind w:left="6480" w:hanging="180"/>
      </w:pPr>
    </w:lvl>
  </w:abstractNum>
  <w:abstractNum w:abstractNumId="1513">
    <w:multiLevelType w:val="hybridMultilevel"/>
    <w:lvl w:ilvl="0" w:tplc="68405293">
      <w:start w:val="1"/>
      <w:numFmt w:val="decimal"/>
      <w:lvlText w:val="%1."/>
      <w:lvlJc w:val="left"/>
      <w:pPr>
        <w:ind w:left="720" w:hanging="360"/>
      </w:pPr>
    </w:lvl>
    <w:lvl w:ilvl="1" w:tplc="68405293" w:tentative="1">
      <w:start w:val="1"/>
      <w:numFmt w:val="lowerLetter"/>
      <w:lvlText w:val="%2."/>
      <w:lvlJc w:val="left"/>
      <w:pPr>
        <w:ind w:left="1440" w:hanging="360"/>
      </w:pPr>
    </w:lvl>
    <w:lvl w:ilvl="2" w:tplc="68405293" w:tentative="1">
      <w:start w:val="1"/>
      <w:numFmt w:val="lowerRoman"/>
      <w:lvlText w:val="%3."/>
      <w:lvlJc w:val="right"/>
      <w:pPr>
        <w:ind w:left="2160" w:hanging="180"/>
      </w:pPr>
    </w:lvl>
    <w:lvl w:ilvl="3" w:tplc="68405293" w:tentative="1">
      <w:start w:val="1"/>
      <w:numFmt w:val="decimal"/>
      <w:lvlText w:val="%4."/>
      <w:lvlJc w:val="left"/>
      <w:pPr>
        <w:ind w:left="2880" w:hanging="360"/>
      </w:pPr>
    </w:lvl>
    <w:lvl w:ilvl="4" w:tplc="68405293" w:tentative="1">
      <w:start w:val="1"/>
      <w:numFmt w:val="lowerLetter"/>
      <w:lvlText w:val="%5."/>
      <w:lvlJc w:val="left"/>
      <w:pPr>
        <w:ind w:left="3600" w:hanging="360"/>
      </w:pPr>
    </w:lvl>
    <w:lvl w:ilvl="5" w:tplc="68405293" w:tentative="1">
      <w:start w:val="1"/>
      <w:numFmt w:val="lowerRoman"/>
      <w:lvlText w:val="%6."/>
      <w:lvlJc w:val="right"/>
      <w:pPr>
        <w:ind w:left="4320" w:hanging="180"/>
      </w:pPr>
    </w:lvl>
    <w:lvl w:ilvl="6" w:tplc="68405293" w:tentative="1">
      <w:start w:val="1"/>
      <w:numFmt w:val="decimal"/>
      <w:lvlText w:val="%7."/>
      <w:lvlJc w:val="left"/>
      <w:pPr>
        <w:ind w:left="5040" w:hanging="360"/>
      </w:pPr>
    </w:lvl>
    <w:lvl w:ilvl="7" w:tplc="68405293" w:tentative="1">
      <w:start w:val="1"/>
      <w:numFmt w:val="lowerLetter"/>
      <w:lvlText w:val="%8."/>
      <w:lvlJc w:val="left"/>
      <w:pPr>
        <w:ind w:left="5760" w:hanging="360"/>
      </w:pPr>
    </w:lvl>
    <w:lvl w:ilvl="8" w:tplc="68405293" w:tentative="1">
      <w:start w:val="1"/>
      <w:numFmt w:val="lowerRoman"/>
      <w:lvlText w:val="%9."/>
      <w:lvlJc w:val="right"/>
      <w:pPr>
        <w:ind w:left="6480" w:hanging="180"/>
      </w:pPr>
    </w:lvl>
  </w:abstractNum>
  <w:abstractNum w:abstractNumId="1512">
    <w:multiLevelType w:val="hybridMultilevel"/>
    <w:lvl w:ilvl="0" w:tplc="8255696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512">
    <w:abstractNumId w:val="1512"/>
  </w:num>
  <w:num w:numId="1513">
    <w:abstractNumId w:val="1513"/>
  </w:num>
  <w:num w:numId="1514">
    <w:abstractNumId w:val="1514"/>
  </w:num>
  <w:num w:numId="1515">
    <w:abstractNumId w:val="15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18691199" Type="http://schemas.openxmlformats.org/officeDocument/2006/relationships/comments" Target="comments.xml"/><Relationship Id="rId730899883" Type="http://schemas.microsoft.com/office/2011/relationships/commentsExtended" Target="commentsExtended.xml"/><Relationship Id="rId62584063" Type="http://schemas.openxmlformats.org/officeDocument/2006/relationships/image" Target="media/imgrId62584063.jpg"/><Relationship Id="rId542969e0fcc1c609d" Type="http://schemas.openxmlformats.org/officeDocument/2006/relationships/image" Target="media/imgrId542969e0fcc1c609d.png"/><Relationship Id="rId623669e0fcc1ce148" Type="http://schemas.openxmlformats.org/officeDocument/2006/relationships/image" Target="media/imgrId623669e0fcc1ce148.jpg"/><Relationship Id="rId538669e0fcc1d5cae" Type="http://schemas.openxmlformats.org/officeDocument/2006/relationships/image" Target="media/imgrId538669e0fcc1d5cae.jpg"/><Relationship Id="rId946169e0fcc1dd349" Type="http://schemas.openxmlformats.org/officeDocument/2006/relationships/image" Target="media/imgrId946169e0fcc1dd349.jpg"/><Relationship Id="rId292969e0fcc1e3c3d" Type="http://schemas.openxmlformats.org/officeDocument/2006/relationships/image" Target="media/imgrId292969e0fcc1e3c3d.jpg"/><Relationship Id="rId835269e0fcc1e9d11" Type="http://schemas.openxmlformats.org/officeDocument/2006/relationships/image" Target="media/imgrId835269e0fcc1e9d11.jpg"/><Relationship Id="rId508469e0fcc201110" Type="http://schemas.openxmlformats.org/officeDocument/2006/relationships/image" Target="media/imgrId508469e0fcc201110.png"/><Relationship Id="rId874469e0fcc208ed7" Type="http://schemas.openxmlformats.org/officeDocument/2006/relationships/image" Target="media/imgrId874469e0fcc208ed7.png"/><Relationship Id="rId994469e0fcc213a60" Type="http://schemas.openxmlformats.org/officeDocument/2006/relationships/image" Target="media/imgrId994469e0fcc213a60.jpg"/><Relationship Id="rId858369e0fcc21bf0b" Type="http://schemas.openxmlformats.org/officeDocument/2006/relationships/image" Target="media/imgrId858369e0fcc21bf0b.jpg"/><Relationship Id="rId361469e0fcc2274d9" Type="http://schemas.openxmlformats.org/officeDocument/2006/relationships/image" Target="media/imgrId361469e0fcc2274d9.png"/><Relationship Id="rId380969e0fcc2337a5" Type="http://schemas.openxmlformats.org/officeDocument/2006/relationships/image" Target="media/imgrId380969e0fcc2337a5.jpg"/><Relationship Id="rId341469e0fcc23dff6" Type="http://schemas.openxmlformats.org/officeDocument/2006/relationships/image" Target="media/imgrId341469e0fcc23dff6.png"/><Relationship Id="rId996669e0fcc24f766" Type="http://schemas.openxmlformats.org/officeDocument/2006/relationships/image" Target="media/imgrId996669e0fcc24f76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62584063" Type="http://schemas.openxmlformats.org/officeDocument/2006/relationships/image" Target="media/imgrId62584063.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62584063" Type="http://schemas.openxmlformats.org/officeDocument/2006/relationships/image" Target="media/imgrId62584063.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62584063" Type="http://schemas.openxmlformats.org/officeDocument/2006/relationships/image" Target="media/imgrId62584063.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62584063" Type="http://schemas.openxmlformats.org/officeDocument/2006/relationships/image" Target="media/imgrId62584063.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62584063" Type="http://schemas.openxmlformats.org/officeDocument/2006/relationships/image" Target="media/imgrId62584063.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62584063" Type="http://schemas.openxmlformats.org/officeDocument/2006/relationships/image" Target="media/imgrId6258406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