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KDI-TCP 3404 E5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157182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06680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238915" w:name="ctxt"/>
    <w:bookmarkEnd w:id="96238915"/>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32470996" name="name534169e0fcab180ae"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210169e0fcab180ab"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9429606" w:name="result_box"/>
                <w:bookmarkEnd w:id="99429606"/>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37932" w:name="result_box"/>
                <w:bookmarkEnd w:id="4337932"/>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55071" name="name994769e0fcab1c8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769e0fcab1c8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6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866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866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866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866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587" name="name130169e0fcab205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969e0fcab205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6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866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866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866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866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Utiliser la viscosité d'huile basée sur la plage de température de l'air observée pendant la période entre les vidanges d'huile, comme indiqué dans le tableau ci-dessous.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 X-treme 10W-40 ; X-treme 5W-40 sont recommandées en priorité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361684" name="name889969e0fcab252b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25769e0fcab252a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6571298" name="name870369e0fcab290e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52869e0fcab290e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1499692" name="name532069e0fcab2c85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50569e0fcab2c84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Les huiles répondant aux spécifications suivantes sont également recommandées.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8668"/>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8668"/>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866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231389" name="name356569e0fcab346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169e0fcab346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8187562" name="name219069e0fcab3844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9869e0fcab384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8668"/>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8668"/>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8668"/>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à réglementation stricte (UE, États-Unis, Canada, Japon, Chine, Inde)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UE EN 590</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Amérique du Nord ASTM D975 n° 2-D S15 ; n° 1-D S15</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Japon JIS K 2204 n° 1 ; n° 2</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Inde BS-V ULSD ; BS-VI ULSD</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Chine GB 19147-2016 ULSD GB 17691—2018 ULSD</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HVO EN 15940 ou ASTM D975</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Carburant militaire OTAN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non réglementés ou soumis à des normes moins strictes (Reste du monde et applications militaires)</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Équivalent aux spécifications ci-dessus</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500 ppm</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2 000 ppm</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F-34/F-35 (Kérosène, désignation OTAN)  </w:t>
            </w:r>
            <w:r>
              <w:rPr>
                <w:b/>
                <w:bCs/>
                <w:color w:val="00274C"/>
                <w:position w:val="-2"/>
                <w:sz w:val="20"/>
                <w:szCs w:val="20"/>
                <w:u w:val="none"/>
              </w:rPr>
              <w:t xml:space="preserve">(1)</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F-44 (Kérosène, désignation OTAN)  </w:t>
            </w:r>
            <w:r>
              <w:rPr>
                <w:b/>
                <w:bCs/>
                <w:color w:val="00274C"/>
                <w:position w:val="-2"/>
                <w:sz w:val="20"/>
                <w:szCs w:val="20"/>
                <w:u w:val="none"/>
              </w:rPr>
              <w:t xml:space="preserve">(1)</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F-63 (Kérosène, désignation OTAN, équivalent au F-34/F-35 avec additifs)  </w:t>
            </w:r>
            <w:r>
              <w:rPr>
                <w:b/>
                <w:bCs/>
                <w:color w:val="00274C"/>
                <w:position w:val="-2"/>
                <w:sz w:val="20"/>
                <w:szCs w:val="20"/>
                <w:u w:val="none"/>
              </w:rPr>
              <w:t xml:space="preserve">(1)</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JP-8 (Kérosène, désignation militaire américaine)  </w:t>
            </w:r>
            <w:r>
              <w:rPr>
                <w:b/>
                <w:bCs/>
                <w:color w:val="00274C"/>
                <w:position w:val="-2"/>
                <w:sz w:val="20"/>
                <w:szCs w:val="20"/>
                <w:u w:val="none"/>
              </w:rPr>
              <w:t xml:space="preserve">(1)</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JP-5 (Kérosène, désignation militaire américaine)  </w:t>
            </w:r>
            <w:r>
              <w:rPr>
                <w:b/>
                <w:bCs/>
                <w:color w:val="00274C"/>
                <w:position w:val="-2"/>
                <w:sz w:val="20"/>
                <w:szCs w:val="20"/>
                <w:u w:val="none"/>
              </w:rPr>
              <w:t xml:space="preserve">(1)</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Jet A/A1 (civil) Kérosène d'aviation)  </w:t>
            </w:r>
            <w:r>
              <w:rPr>
                <w:b/>
                <w:bCs/>
                <w:color w:val="00274C"/>
                <w:position w:val="-2"/>
                <w:sz w:val="20"/>
                <w:szCs w:val="20"/>
                <w:u w:val="none"/>
              </w:rPr>
              <w:t xml:space="preserve">(1)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Utilisation de carburants d'aviation : Les carburants d'aviation ne peuvent être utilisés qu'avec un filtre à carburant supplémentaire muni d'un dispositif de dosage de lubrification. En raison de leur faible densité et des pertes de volume accrues dues à leur viscosité réduite, une perte de puissance pouvant atteindre 10 % est possible, selon le régime moteur et le couple. Les carburants d'aviation mentionnés présentent certaines propriétés problématiques (viscosité, pouvoir lubrifiant et point d'ébullition bas). Une légère augmentation de l'usure du système d'injection est à prévoir, ce qui peut entraîner une réduction statistique de la durée de vie de ces composants. La teneur en soufre doit être inférieure à 2 000 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Additifs pour carburant</w:t>
            </w:r>
          </w:p>
          <w:p>
            <w:pPr>
              <w:widowControl w:val="on"/>
              <w:pBdr/>
              <w:spacing w:before="0" w:after="0" w:line="262" w:lineRule="auto"/>
              <w:ind w:left="0" w:right="0"/>
              <w:jc w:val="left"/>
              <w:textAlignment w:val="center"/>
            </w:pPr>
            <w:r>
              <w:rPr>
                <w:color w:val="00274C"/>
                <w:position w:val="-2"/>
                <w:sz w:val="20"/>
                <w:szCs w:val="20"/>
                <w:u w:val="none"/>
              </w:rPr>
              <w:t xml:space="preserve">Afin de maintenir les performances du circuit d'injection, Rehlko a développé une gamme de produits additifs pour le marché nord-américain.</w:t>
            </w:r>
          </w:p>
          <w:p/>
          <w:p/>
          <w:p>
            <w:pPr>
              <w:widowControl w:val="on"/>
              <w:pBdr/>
              <w:spacing w:before="0" w:after="0" w:line="262" w:lineRule="auto"/>
              <w:ind w:left="0" w:right="0"/>
              <w:jc w:val="left"/>
              <w:textAlignment w:val="center"/>
            </w:pPr>
            <w:r>
              <w:rPr>
                <w:color w:val="00274C"/>
                <w:position w:val="-2"/>
                <w:sz w:val="20"/>
                <w:szCs w:val="20"/>
                <w:u w:val="none"/>
              </w:rPr>
              <w:t xml:space="preserve">L'additif pour carburant  </w:t>
            </w:r>
            <w:r>
              <w:rPr>
                <w:b/>
                <w:bCs/>
                <w:color w:val="00274C"/>
                <w:position w:val="-2"/>
                <w:sz w:val="20"/>
                <w:szCs w:val="20"/>
                <w:u w:val="none"/>
              </w:rPr>
              <w:t xml:space="preserve">Extra Performance</w:t>
            </w:r>
            <w:r>
              <w:rPr>
                <w:color w:val="00274C"/>
                <w:position w:val="-2"/>
                <w:sz w:val="20"/>
                <w:szCs w:val="20"/>
                <w:u w:val="none"/>
              </w:rPr>
              <w:t xml:space="preserve">   </w:t>
            </w:r>
            <w:r>
              <w:rPr>
                <w:b/>
                <w:bCs/>
                <w:color w:val="00274C"/>
                <w:position w:val="-2"/>
                <w:sz w:val="20"/>
                <w:szCs w:val="20"/>
                <w:u w:val="none"/>
              </w:rPr>
              <w:t xml:space="preserve">Arctic Formula</w:t>
            </w:r>
            <w:r>
              <w:rPr>
                <w:color w:val="00274C"/>
                <w:position w:val="-2"/>
                <w:sz w:val="20"/>
                <w:szCs w:val="20"/>
                <w:u w:val="none"/>
              </w:rPr>
              <w:t xml:space="preserve">  est une formule hivernale  </w:t>
            </w:r>
            <w:r>
              <w:rPr>
                <w:b/>
                <w:bCs/>
                <w:color w:val="00274C"/>
                <w:position w:val="-2"/>
                <w:sz w:val="20"/>
                <w:szCs w:val="20"/>
                <w:u w:val="none"/>
              </w:rPr>
              <w:t xml:space="preserve">Extra Performance Fuel Additive</w:t>
            </w:r>
            <w:r>
              <w:rPr>
                <w:color w:val="00274C"/>
                <w:position w:val="-2"/>
                <w:sz w:val="20"/>
                <w:szCs w:val="20"/>
                <w:u w:val="none"/>
              </w:rPr>
              <w:t xml:space="preserve">  qui nettoie et prévient les dépôts dans les injecteurs. Contactez votre concessionnaire Rehlko pour connaître sa disponibilité.</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r>
                    <w:rPr>
                      <w:position w:val="-620"/>
                    </w:rPr>
                    <w:drawing>
                      <wp:inline distT="0" distB="0" distL="0" distR="0">
                        <wp:extent cx="1591200" cy="3924000"/>
                        <wp:effectExtent b="0" l="0" r="0" t="0"/>
                        <wp:docPr id="83982030" name="name196369e0fcab3f20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92469e0fcab3f20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Utilisez l'additif pour carburant diesel Rehlko Injector Cleaner avant de faire le plein une fois par an ou toutes les 500 heures, que ce soit avec du carburant été ou hiver. Sa formule nettoie les dépôts sur les injecteurs et lubrifie la pompe haute pression et les injecteurs afin de réduire l'usure et d'améliorer la qualité du carburant. Compatible avec tous les systèmes d'échappement, y compris les filtres à particules diesel (FAP). Suivez scrupuleusement les instructions figurant sur l'étiquette du produit.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732"/>
                    </w:rPr>
                    <w:drawing>
                      <wp:inline distT="0" distB="0" distL="0" distR="0">
                        <wp:extent cx="1864800" cy="4622400"/>
                        <wp:effectExtent b="0" l="0" r="0" t="0"/>
                        <wp:docPr id="70880037" name="name447669e0fcab4268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64069e0fcab42688"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Utilisez l'additif pour carburant Rehlko Extra Performance Arctic Formula, contenant un agent antigel, pour traiter le carburant non hivernal (n° 2-D en Amérique du Nord) par temps froid. Ceci permet une utilisation prolongée jusqu'à environ 10 °C (18 °F) en dessous du point de cristallisation de la paraffine. Pour une utilisation par températures encore plus basses, utilisez du carburant hivernal. Traitez le carburant lorsque la température extérieure descend en dessous de 0 °C (32 °F). Pour des résultats optimaux, utilisez du carburant non traité et suivez scrupuleusement les instructions figurant sur l'étiquette du produit.</w:t>
                  </w:r>
                </w:p>
                <w:p/>
                <w:p/>
                <w:p>
                  <w:pPr>
                    <w:widowControl w:val="on"/>
                    <w:pBdr/>
                    <w:spacing w:before="0" w:after="0" w:line="262" w:lineRule="auto"/>
                    <w:ind w:left="0" w:right="0"/>
                    <w:jc w:val="left"/>
                    <w:textAlignment w:val="center"/>
                  </w:pPr>
                  <w:r>
                    <w:rPr>
                      <w:color w:val="00274C"/>
                      <w:position w:val="-2"/>
                      <w:sz w:val="20"/>
                      <w:szCs w:val="20"/>
                      <w:u w:val="none"/>
                    </w:rPr>
                    <w:t xml:space="preserve">Le point de cristallisation de la paraffine est la température à laquelle la paraffine commence à se déposer dans le carburant, provoquant l'encrassement des filtres.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ne sont autorisés que pour le carburant stocké dans des réservoirs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obtenir des suggestions de produits, veuillez contacter le personnel de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Ces additifs doivent être dilués en pourcentage conformément à la prescription du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8670"/>
              </w:numPr>
              <w:spacing w:before="0" w:after="0" w:line="262" w:lineRule="auto"/>
              <w:jc w:val="left"/>
              <w:rPr>
                <w:color w:val="00274C"/>
                <w:sz w:val="20"/>
                <w:szCs w:val="20"/>
              </w:rPr>
            </w:pPr>
            <w:r>
              <w:rPr>
                <w:color w:val="00274C"/>
                <w:position w:val="-2"/>
                <w:sz w:val="20"/>
                <w:szCs w:val="20"/>
                <w:u w:val="none"/>
              </w:rPr>
              <w:t xml:space="preserve">Connu sous le nom de « AUS 32 » en Europe, « DEF » aux États-Unis ou « Urea Solution », il est enregistré avec la marque «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dans le Verband der Automobilindustrie (VDA - Union de l'industrie automobile) ; il doit être conforme aux normes ISO suivantes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Le remplissage du réservoir DEF doit être exécuté exclusivement à l’aide du pistolet automatique auprès des stations-service agréées ; veuillez consulter le manuel de la machine pour les opérations de ravitaillement.</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Lors du ravitaillement, respecter le niveau de MAX présent sur le réservoir.</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Pendant les opérations de ravitaillement, éviter toute entrée d’impuretés dans le réservoir.</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L’entrée du réservoir est dotée d’un filtre devant être périodiquement nettoyé ou remplacé (consulter le tableau d’entretien et remplacement - uniquement pour réservoirs fournis par  </w:t>
            </w:r>
            <w:r>
              <w:rPr>
                <w:b/>
                <w:bCs/>
                <w:color w:val="000000"/>
                <w:position w:val="-2"/>
                <w:sz w:val="20"/>
                <w:szCs w:val="20"/>
                <w:u w:val="none"/>
              </w:rPr>
              <w:t xml:space="preserve">REHLKO</w:t>
            </w:r>
            <w:r>
              <w:rPr>
                <w:color w:val="00274C"/>
                <w:position w:val="-2"/>
                <w:sz w:val="20"/>
                <w:szCs w:val="20"/>
                <w:u w:val="none"/>
              </w:rPr>
              <w:t xml:space="preserve"> ).</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La qualité de l'DEF doit être conforme aux spécifications reportées dans le Tabl.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28401" name="name923869e0fcab472c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3769e0fcab472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Ne pas mélanger DEF au carburant ou à d’autres liquides (eau incluse) et ne pas remplir le réservoir de carburant avec deDEF.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Pour démarrer le moteur il faut que le réservoir spécifique soit rempli de 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Achat en conteneurs : le conteneur, ouvert aussi, peut être stocké sous les mêmes conditions du conteneur scellé.</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Ne pas stocker le conteneur à une température dépassant 35° car elle pourrait engendrer l’altération de 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En cas de congélation de DEF à l’intérieur du conteneur (&lt; -11,5 °C | 11,3 °F), DEF pourra être utilisé une fois reporté à l’état liquide.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Ne pas exposer DEF aux rayons directs du soleil.</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En cas d’ouverture et fermeture du conteneur d’achat d’origine, DEF doit être contrôlé au moyen d’un spectromètre afin d’en évaluer la qualité avant sa réutilisation.</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Ne pas remplir le réservoir DEF altéré car il pourrait en résulter des paramètres d’émissions du moteur non conformes, des erreurs de la centrale DCU et par conséquent l’extinction ou le raté d’allumage du moteur.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PARAMÈTRES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réfraction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Alcalinité comme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Aldéhyde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comme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Magnésium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 de 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-11</w:t>
                  </w:r>
                </w:p>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Il est préférable d'utiliser le liquide de refroidissement prémélangé Rehlko Xtended™ contenant 50 % d'éthylène glycol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9638033" name="name170569e0fcab4f41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46669e0fcab4f41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Il est également recommandé d'utiliser des fluides frigorigènes conformes aux spécifications suivantes. </w:t>
            </w:r>
          </w:p>
          <w:p/>
          <w:p/>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641722" name="name666469e0fcab5754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9469e0fcab575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Batterie non fournie par </w:t>
            </w:r>
            <w:r>
              <w:rPr>
                <w:color w:val="00274C"/>
                <w:position w:val="-2"/>
                <w:sz w:val="20"/>
                <w:szCs w:val="20"/>
                <w:u w:val="none"/>
              </w:rPr>
              <w:t xml:space="preserve"> </w:t>
            </w:r>
            <w:r>
              <w:rPr>
                <w:b/>
                <w:bCs/>
                <w:color w:val="000000"/>
                <w:position w:val="-2"/>
                <w:sz w:val="20"/>
                <w:szCs w:val="20"/>
                <w:u w:val="none"/>
              </w:rPr>
              <w:t xml:space="preserve">REHLKO</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É</w:t>
                  </w:r>
                  <w:r>
                    <w:rPr>
                      <w:b/>
                      <w:bCs/>
                      <w:color w:val="FFFFFF"/>
                      <w:position w:val="-2"/>
                      <w:sz w:val="20"/>
                      <w:szCs w:val="20"/>
                      <w:u w:val="none"/>
                      <w:shd w:val="clear" w:color="auto" w:fill="00274C"/>
                    </w:rPr>
                    <w:t xml:space="preserve"> MARREUR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 DE LA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légères ou embrayage et boîte de vitesse mécanique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lourdes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consiste dans la réduction des performances du moteur suite à la détection par la centrale DCU d’un dysfonctionnement ou une altération du système ATS.</w:t>
            </w:r>
            <w:r>
              <w:rPr>
                <w:color w:val="00274C"/>
                <w:position w:val="-2"/>
                <w:sz w:val="20"/>
                <w:szCs w:val="20"/>
                <w:u w:val="none"/>
              </w:rPr>
              <w:br/>
              <w:br/>
              <w:t xml:space="preserve">Le niveau d’Inducement est établi par la centrale ECU en fonction de l’erreur détectée par la DCU.</w:t>
            </w:r>
            <w:r>
              <w:rPr>
                <w:color w:val="00274C"/>
                <w:position w:val="-2"/>
                <w:sz w:val="20"/>
                <w:szCs w:val="20"/>
                <w:u w:val="none"/>
              </w:rPr>
              <w:br/>
              <w:b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Niveau DEF insuffisant</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Mauvaise qualité de 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Coupure du dosage de 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Dysfonctionnement de la soupape EGR</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u w:val="none"/>
              </w:rPr>
              <w:t xml:space="preserve">
La stratégie de l’Inducement est appliquée en fonction :</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du problème constaté</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des heures écoulées.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 les heures sont mises à zéro après 40h sans que la DCU ne détecte d’anomalies, dans le cas contraire les heures vont s’ajouter à celles précédentes déjà comptées. En cas de niveau insuffisant DEF, l’activation a lieu en fonction du pourcentage de liquide présent dans le réservoir DEF ; les heures d’anomalie ne sont pas prises en compte.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(Stage V - EU):</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2 niveaux, listés ci-dessous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ou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&lt;2.5% du niveau MAX</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0%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3 niveaux, listés ci-dessous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le moteur fonctionne au régime minimum et au couple MAX</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ou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&lt;5% du niveau MAX</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&lt;2.5% du niveau MAX</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&lt;0.5%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8668"/>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7012971" name="name877869e0fcab6614f"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106369e0fcab6614c"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0000"/>
                <w:position w:val="-2"/>
                <w:sz w:val="20"/>
                <w:szCs w:val="20"/>
                <w:u w:val="none"/>
              </w:rPr>
              <w:t xml:space="preserve">REHLKO </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671">
    <w:multiLevelType w:val="hybridMultilevel"/>
    <w:lvl w:ilvl="0" w:tplc="24729575">
      <w:start w:val="1"/>
      <w:numFmt w:val="decimal"/>
      <w:lvlText w:val="%1."/>
      <w:lvlJc w:val="left"/>
      <w:pPr>
        <w:ind w:left="720" w:hanging="360"/>
      </w:pPr>
    </w:lvl>
    <w:lvl w:ilvl="1" w:tplc="24729575" w:tentative="1">
      <w:start w:val="1"/>
      <w:numFmt w:val="lowerLetter"/>
      <w:lvlText w:val="%2."/>
      <w:lvlJc w:val="left"/>
      <w:pPr>
        <w:ind w:left="1440" w:hanging="360"/>
      </w:pPr>
    </w:lvl>
    <w:lvl w:ilvl="2" w:tplc="24729575" w:tentative="1">
      <w:start w:val="1"/>
      <w:numFmt w:val="lowerRoman"/>
      <w:lvlText w:val="%3."/>
      <w:lvlJc w:val="right"/>
      <w:pPr>
        <w:ind w:left="2160" w:hanging="180"/>
      </w:pPr>
    </w:lvl>
    <w:lvl w:ilvl="3" w:tplc="24729575" w:tentative="1">
      <w:start w:val="1"/>
      <w:numFmt w:val="decimal"/>
      <w:lvlText w:val="%4."/>
      <w:lvlJc w:val="left"/>
      <w:pPr>
        <w:ind w:left="2880" w:hanging="360"/>
      </w:pPr>
    </w:lvl>
    <w:lvl w:ilvl="4" w:tplc="24729575" w:tentative="1">
      <w:start w:val="1"/>
      <w:numFmt w:val="lowerLetter"/>
      <w:lvlText w:val="%5."/>
      <w:lvlJc w:val="left"/>
      <w:pPr>
        <w:ind w:left="3600" w:hanging="360"/>
      </w:pPr>
    </w:lvl>
    <w:lvl w:ilvl="5" w:tplc="24729575" w:tentative="1">
      <w:start w:val="1"/>
      <w:numFmt w:val="lowerRoman"/>
      <w:lvlText w:val="%6."/>
      <w:lvlJc w:val="right"/>
      <w:pPr>
        <w:ind w:left="4320" w:hanging="180"/>
      </w:pPr>
    </w:lvl>
    <w:lvl w:ilvl="6" w:tplc="24729575" w:tentative="1">
      <w:start w:val="1"/>
      <w:numFmt w:val="decimal"/>
      <w:lvlText w:val="%7."/>
      <w:lvlJc w:val="left"/>
      <w:pPr>
        <w:ind w:left="5040" w:hanging="360"/>
      </w:pPr>
    </w:lvl>
    <w:lvl w:ilvl="7" w:tplc="24729575" w:tentative="1">
      <w:start w:val="1"/>
      <w:numFmt w:val="lowerLetter"/>
      <w:lvlText w:val="%8."/>
      <w:lvlJc w:val="left"/>
      <w:pPr>
        <w:ind w:left="5760" w:hanging="360"/>
      </w:pPr>
    </w:lvl>
    <w:lvl w:ilvl="8" w:tplc="24729575" w:tentative="1">
      <w:start w:val="1"/>
      <w:numFmt w:val="lowerRoman"/>
      <w:lvlText w:val="%9."/>
      <w:lvlJc w:val="right"/>
      <w:pPr>
        <w:ind w:left="6480" w:hanging="180"/>
      </w:pPr>
    </w:lvl>
  </w:abstractNum>
  <w:abstractNum w:abstractNumId="8670">
    <w:multiLevelType w:val="hybridMultilevel"/>
    <w:lvl w:ilvl="0" w:tplc="22985532">
      <w:start w:val="1"/>
      <w:numFmt w:val="decimal"/>
      <w:lvlText w:val="%1."/>
      <w:lvlJc w:val="left"/>
      <w:pPr>
        <w:ind w:left="720" w:hanging="360"/>
      </w:pPr>
    </w:lvl>
    <w:lvl w:ilvl="1" w:tplc="22985532" w:tentative="1">
      <w:start w:val="1"/>
      <w:numFmt w:val="lowerLetter"/>
      <w:lvlText w:val="%2."/>
      <w:lvlJc w:val="left"/>
      <w:pPr>
        <w:ind w:left="1440" w:hanging="360"/>
      </w:pPr>
    </w:lvl>
    <w:lvl w:ilvl="2" w:tplc="22985532" w:tentative="1">
      <w:start w:val="1"/>
      <w:numFmt w:val="lowerRoman"/>
      <w:lvlText w:val="%3."/>
      <w:lvlJc w:val="right"/>
      <w:pPr>
        <w:ind w:left="2160" w:hanging="180"/>
      </w:pPr>
    </w:lvl>
    <w:lvl w:ilvl="3" w:tplc="22985532" w:tentative="1">
      <w:start w:val="1"/>
      <w:numFmt w:val="decimal"/>
      <w:lvlText w:val="%4."/>
      <w:lvlJc w:val="left"/>
      <w:pPr>
        <w:ind w:left="2880" w:hanging="360"/>
      </w:pPr>
    </w:lvl>
    <w:lvl w:ilvl="4" w:tplc="22985532" w:tentative="1">
      <w:start w:val="1"/>
      <w:numFmt w:val="lowerLetter"/>
      <w:lvlText w:val="%5."/>
      <w:lvlJc w:val="left"/>
      <w:pPr>
        <w:ind w:left="3600" w:hanging="360"/>
      </w:pPr>
    </w:lvl>
    <w:lvl w:ilvl="5" w:tplc="22985532" w:tentative="1">
      <w:start w:val="1"/>
      <w:numFmt w:val="lowerRoman"/>
      <w:lvlText w:val="%6."/>
      <w:lvlJc w:val="right"/>
      <w:pPr>
        <w:ind w:left="4320" w:hanging="180"/>
      </w:pPr>
    </w:lvl>
    <w:lvl w:ilvl="6" w:tplc="22985532" w:tentative="1">
      <w:start w:val="1"/>
      <w:numFmt w:val="decimal"/>
      <w:lvlText w:val="%7."/>
      <w:lvlJc w:val="left"/>
      <w:pPr>
        <w:ind w:left="5040" w:hanging="360"/>
      </w:pPr>
    </w:lvl>
    <w:lvl w:ilvl="7" w:tplc="22985532" w:tentative="1">
      <w:start w:val="1"/>
      <w:numFmt w:val="lowerLetter"/>
      <w:lvlText w:val="%8."/>
      <w:lvlJc w:val="left"/>
      <w:pPr>
        <w:ind w:left="5760" w:hanging="360"/>
      </w:pPr>
    </w:lvl>
    <w:lvl w:ilvl="8" w:tplc="22985532" w:tentative="1">
      <w:start w:val="1"/>
      <w:numFmt w:val="lowerRoman"/>
      <w:lvlText w:val="%9."/>
      <w:lvlJc w:val="right"/>
      <w:pPr>
        <w:ind w:left="6480" w:hanging="180"/>
      </w:pPr>
    </w:lvl>
  </w:abstractNum>
  <w:abstractNum w:abstractNumId="8669">
    <w:multiLevelType w:val="hybridMultilevel"/>
    <w:lvl w:ilvl="0" w:tplc="41284618">
      <w:start w:val="1"/>
      <w:numFmt w:val="decimal"/>
      <w:lvlText w:val="%1."/>
      <w:lvlJc w:val="left"/>
      <w:pPr>
        <w:ind w:left="720" w:hanging="360"/>
      </w:pPr>
    </w:lvl>
    <w:lvl w:ilvl="1" w:tplc="41284618" w:tentative="1">
      <w:start w:val="1"/>
      <w:numFmt w:val="lowerLetter"/>
      <w:lvlText w:val="%2."/>
      <w:lvlJc w:val="left"/>
      <w:pPr>
        <w:ind w:left="1440" w:hanging="360"/>
      </w:pPr>
    </w:lvl>
    <w:lvl w:ilvl="2" w:tplc="41284618" w:tentative="1">
      <w:start w:val="1"/>
      <w:numFmt w:val="lowerRoman"/>
      <w:lvlText w:val="%3."/>
      <w:lvlJc w:val="right"/>
      <w:pPr>
        <w:ind w:left="2160" w:hanging="180"/>
      </w:pPr>
    </w:lvl>
    <w:lvl w:ilvl="3" w:tplc="41284618" w:tentative="1">
      <w:start w:val="1"/>
      <w:numFmt w:val="decimal"/>
      <w:lvlText w:val="%4."/>
      <w:lvlJc w:val="left"/>
      <w:pPr>
        <w:ind w:left="2880" w:hanging="360"/>
      </w:pPr>
    </w:lvl>
    <w:lvl w:ilvl="4" w:tplc="41284618" w:tentative="1">
      <w:start w:val="1"/>
      <w:numFmt w:val="lowerLetter"/>
      <w:lvlText w:val="%5."/>
      <w:lvlJc w:val="left"/>
      <w:pPr>
        <w:ind w:left="3600" w:hanging="360"/>
      </w:pPr>
    </w:lvl>
    <w:lvl w:ilvl="5" w:tplc="41284618" w:tentative="1">
      <w:start w:val="1"/>
      <w:numFmt w:val="lowerRoman"/>
      <w:lvlText w:val="%6."/>
      <w:lvlJc w:val="right"/>
      <w:pPr>
        <w:ind w:left="4320" w:hanging="180"/>
      </w:pPr>
    </w:lvl>
    <w:lvl w:ilvl="6" w:tplc="41284618" w:tentative="1">
      <w:start w:val="1"/>
      <w:numFmt w:val="decimal"/>
      <w:lvlText w:val="%7."/>
      <w:lvlJc w:val="left"/>
      <w:pPr>
        <w:ind w:left="5040" w:hanging="360"/>
      </w:pPr>
    </w:lvl>
    <w:lvl w:ilvl="7" w:tplc="41284618" w:tentative="1">
      <w:start w:val="1"/>
      <w:numFmt w:val="lowerLetter"/>
      <w:lvlText w:val="%8."/>
      <w:lvlJc w:val="left"/>
      <w:pPr>
        <w:ind w:left="5760" w:hanging="360"/>
      </w:pPr>
    </w:lvl>
    <w:lvl w:ilvl="8" w:tplc="41284618" w:tentative="1">
      <w:start w:val="1"/>
      <w:numFmt w:val="lowerRoman"/>
      <w:lvlText w:val="%9."/>
      <w:lvlJc w:val="right"/>
      <w:pPr>
        <w:ind w:left="6480" w:hanging="180"/>
      </w:pPr>
    </w:lvl>
  </w:abstractNum>
  <w:abstractNum w:abstractNumId="8668">
    <w:multiLevelType w:val="hybridMultilevel"/>
    <w:lvl w:ilvl="0" w:tplc="478015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68">
    <w:abstractNumId w:val="8668"/>
  </w:num>
  <w:num w:numId="8669">
    <w:abstractNumId w:val="8669"/>
  </w:num>
  <w:num w:numId="8670">
    <w:abstractNumId w:val="8670"/>
  </w:num>
  <w:num w:numId="8671">
    <w:abstractNumId w:val="86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4803533" Type="http://schemas.openxmlformats.org/officeDocument/2006/relationships/comments" Target="comments.xml"/><Relationship Id="rId719515859" Type="http://schemas.microsoft.com/office/2011/relationships/commentsExtended" Target="commentsExtended.xml"/><Relationship Id="rId32066800" Type="http://schemas.openxmlformats.org/officeDocument/2006/relationships/image" Target="media/imgrId32066800.jpg"/><Relationship Id="rId210169e0fcab180ab" Type="http://schemas.openxmlformats.org/officeDocument/2006/relationships/image" Target="media/imgrId210169e0fcab180ab.png"/><Relationship Id="rId450769e0fcab1c8c7" Type="http://schemas.openxmlformats.org/officeDocument/2006/relationships/image" Target="media/imgrId450769e0fcab1c8c7.jpg"/><Relationship Id="rId904969e0fcab2058a" Type="http://schemas.openxmlformats.org/officeDocument/2006/relationships/image" Target="media/imgrId904969e0fcab2058a.jpg"/><Relationship Id="rId125769e0fcab252ad" Type="http://schemas.openxmlformats.org/officeDocument/2006/relationships/image" Target="media/imgrId125769e0fcab252ad.jpg"/><Relationship Id="rId252869e0fcab290e8" Type="http://schemas.openxmlformats.org/officeDocument/2006/relationships/image" Target="media/imgrId252869e0fcab290e8.jpg"/><Relationship Id="rId250569e0fcab2c84e" Type="http://schemas.openxmlformats.org/officeDocument/2006/relationships/image" Target="media/imgrId250569e0fcab2c84e.jpg"/><Relationship Id="rId502169e0fcab3460d" Type="http://schemas.openxmlformats.org/officeDocument/2006/relationships/image" Target="media/imgrId502169e0fcab3460d.png"/><Relationship Id="rId459869e0fcab38445" Type="http://schemas.openxmlformats.org/officeDocument/2006/relationships/image" Target="media/imgrId459869e0fcab38445.png"/><Relationship Id="rId492469e0fcab3f20a" Type="http://schemas.openxmlformats.org/officeDocument/2006/relationships/image" Target="media/imgrId492469e0fcab3f20a.jpg"/><Relationship Id="rId364069e0fcab42688" Type="http://schemas.openxmlformats.org/officeDocument/2006/relationships/image" Target="media/imgrId364069e0fcab42688.jpg"/><Relationship Id="rId853769e0fcab472c2" Type="http://schemas.openxmlformats.org/officeDocument/2006/relationships/image" Target="media/imgrId853769e0fcab472c2.png"/><Relationship Id="rId646669e0fcab4f41b" Type="http://schemas.openxmlformats.org/officeDocument/2006/relationships/image" Target="media/imgrId646669e0fcab4f41b.jpg"/><Relationship Id="rId369469e0fcab5753d" Type="http://schemas.openxmlformats.org/officeDocument/2006/relationships/image" Target="media/imgrId369469e0fcab5753d.png"/><Relationship Id="rId106369e0fcab6614c" Type="http://schemas.openxmlformats.org/officeDocument/2006/relationships/image" Target="media/imgrId106369e0fcab6614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2066800" Type="http://schemas.openxmlformats.org/officeDocument/2006/relationships/image" Target="media/imgrId3206680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2066800" Type="http://schemas.openxmlformats.org/officeDocument/2006/relationships/image" Target="media/imgrId3206680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2066800" Type="http://schemas.openxmlformats.org/officeDocument/2006/relationships/image" Target="media/imgrId3206680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2066800" Type="http://schemas.openxmlformats.org/officeDocument/2006/relationships/image" Target="media/imgrId3206680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2066800" Type="http://schemas.openxmlformats.org/officeDocument/2006/relationships/image" Target="media/imgrId3206680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2066800" Type="http://schemas.openxmlformats.org/officeDocument/2006/relationships/image" Target="media/imgrId320668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