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(REV_05)</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790370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43625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1094722" w:name="ctxt"/>
    <w:bookmarkEnd w:id="31094722"/>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70796361" name="name769669eb1baaaff86" descr="CAP_2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0.png"/>
                                <pic:cNvPicPr/>
                              </pic:nvPicPr>
                              <pic:blipFill>
                                <a:blip r:embed="rId222469eb1baaaff83"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 SCR</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 - versione base)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13880475" name="name896369eb1baabeab5" descr="Cap_2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_02.png"/>
                          <pic:cNvPicPr/>
                        </pic:nvPicPr>
                        <pic:blipFill>
                          <a:blip r:embed="rId249269eb1baabeab3" cstate="print"/>
                          <a:stretch>
                            <a:fillRect/>
                          </a:stretch>
                        </pic:blipFill>
                        <pic:spPr>
                          <a:xfrm>
                            <a:off x="0" y="0"/>
                            <a:ext cx="5544000" cy="4161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99639" name="name552069eb1baac30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569eb1baac30f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675"/>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0675"/>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0675"/>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0675"/>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0675"/>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81356" name="name522069eb1baac725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2469eb1baac72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675"/>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0675"/>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0675"/>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25569eb1baac7789"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0675"/>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0675"/>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Utilizzare la viscosità dell'olio in base all'intervallo di temperatura dell'aria rilevato durante il periodo tra i cambi d'olio, come indicato nella tabella seguente.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sono gli oli preferiti: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2955104" name="name477669eb1baacba0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36069eb1baacba0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6753356" name="name490669eb1baacf93f"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81669eb1baacf93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4379831" name="name601569eb1baad337d"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59769eb1baad337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Si raccomandano inoltre oli che soddisfino le seguenti specifiche.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0675"/>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0675"/>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0675"/>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345917" name="name366369eb1baadad5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3169eb1baadad5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8424995" name="name639269eb1baadea0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18369eb1baadea0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0675"/>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0675"/>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0675"/>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Altamente Regolamentati (EU, USA, CANADA, JAPAN, CHINA, INDIA)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Meno o Non Regolamentati (Resto del Mondo e Applicazioni Militari) </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Equivalente a tutte le specifiche sopra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500ppm</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2000ppm</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F-44 (kerosene, designazione NATO) </w:t>
            </w:r>
            <w:r>
              <w:rPr>
                <w:b/>
                <w:bCs/>
                <w:color w:val="00274C"/>
                <w:position w:val="-2"/>
                <w:sz w:val="20"/>
                <w:szCs w:val="20"/>
                <w:u w:val="none"/>
              </w:rPr>
              <w:t xml:space="preserve"> (1)</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F-63 (kerosene, designazione NATO, equivalente a F-34/F-35 con l'utilizzo di additivi (1)</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JP-8 (kerosene, designazione militare USA) </w:t>
            </w:r>
            <w:r>
              <w:rPr>
                <w:b/>
                <w:bCs/>
                <w:color w:val="00274C"/>
                <w:position w:val="-2"/>
                <w:sz w:val="20"/>
                <w:szCs w:val="20"/>
                <w:u w:val="none"/>
              </w:rPr>
              <w:t xml:space="preserve"> (1)</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JP-5 (kerosene, designazione militare USA) </w:t>
            </w:r>
            <w:r>
              <w:rPr>
                <w:b/>
                <w:bCs/>
                <w:color w:val="00274C"/>
                <w:position w:val="-2"/>
                <w:sz w:val="20"/>
                <w:szCs w:val="20"/>
                <w:u w:val="none"/>
              </w:rPr>
              <w:t xml:space="preserve"> (1)</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Jet A / A1 (kerosene per aviazione civile)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Operazioni con carburanti per aerei: i carburanti per aerei possono essere utilizzati solo adottando un filtro carburante aggiuntivo con dosatore di lubrificazione. A causa della minore densità e della maggiore perdita di volume del carburante dovuto alla minore viscosità, a seconda del regime del motore e della coppia, è possibile una perdita di potenza fino al 10%. Tra i carburanti per aerei elencati ci sono alcune proprietà problematiche (viscosità, capacità lubrificanti e basso punto di ebollizione). È prevedibile un leggero aumento dell'usura nel sistema di iniezione, che può portare a una durata statisticamente più breve di questi componenti. Il contenuto di zolfo deve essere inferiore a 2000 ppm.</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Additivi Carburante</w:t>
            </w:r>
          </w:p>
          <w:p/>
          <w:p/>
          <w:p>
            <w:pPr>
              <w:widowControl w:val="on"/>
              <w:pBdr/>
              <w:spacing w:before="0" w:after="0" w:line="262" w:lineRule="auto"/>
              <w:ind w:left="0" w:right="0"/>
              <w:jc w:val="left"/>
              <w:textAlignment w:val="center"/>
            </w:pPr>
            <w:r>
              <w:rPr>
                <w:color w:val="00274C"/>
                <w:position w:val="-2"/>
                <w:sz w:val="20"/>
                <w:szCs w:val="20"/>
                <w:u w:val="none"/>
              </w:rPr>
              <w:t xml:space="preserve">Al fine di mantenere le performance del circuito iniezione, Rehlko ha sviluppato una famiglia di prodotti additivi per il mercato Nord Americano.</w:t>
            </w:r>
          </w:p>
          <w:p/>
          <w:p/>
          <w:p>
            <w:pPr>
              <w:widowControl w:val="on"/>
              <w:pBdr/>
              <w:spacing w:before="0" w:after="0" w:line="262" w:lineRule="auto"/>
              <w:ind w:left="0" w:right="0"/>
              <w:jc w:val="left"/>
              <w:textAlignment w:val="center"/>
            </w:pPr>
            <w:r>
              <w:rPr>
                <w:color w:val="00274C"/>
                <w:position w:val="-2"/>
                <w:sz w:val="20"/>
                <w:szCs w:val="20"/>
                <w:u w:val="none"/>
              </w:rPr>
              <w:t xml:space="preserve">L'  </w:t>
            </w:r>
            <w:r>
              <w:rPr>
                <w:b/>
                <w:bCs/>
                <w:color w:val="00274C"/>
                <w:position w:val="-2"/>
                <w:sz w:val="20"/>
                <w:szCs w:val="20"/>
                <w:u w:val="none"/>
              </w:rPr>
              <w:t xml:space="preserve">Extra Performance Fuel Additive Arctic Formula</w:t>
            </w:r>
            <w:r>
              <w:rPr>
                <w:color w:val="00274C"/>
                <w:position w:val="-2"/>
                <w:sz w:val="20"/>
                <w:szCs w:val="20"/>
                <w:u w:val="none"/>
              </w:rPr>
              <w:t xml:space="preserve">  per l'inverno, l'  </w:t>
            </w:r>
            <w:r>
              <w:rPr>
                <w:b/>
                <w:bCs/>
                <w:color w:val="00274C"/>
                <w:position w:val="-2"/>
                <w:sz w:val="20"/>
                <w:szCs w:val="20"/>
                <w:u w:val="none"/>
              </w:rPr>
              <w:t xml:space="preserve">Extra Performance Fuel Additive</w:t>
            </w:r>
            <w:r>
              <w:rPr>
                <w:color w:val="00274C"/>
                <w:position w:val="-2"/>
                <w:sz w:val="20"/>
                <w:szCs w:val="20"/>
                <w:u w:val="none"/>
              </w:rPr>
              <w:t xml:space="preserve">  un pulitore di depositi dell'iniettore che ne previene la formazione. Contattare il tuo rivenditore Rehlko per la disponibilità.</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81186265" name="name487469eb1baae75f1"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34869eb1baae75ef"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diesel Rehlko Injector Cleaner prima di riempire il serbatoio una volta all'anno o ogni 500 ore con carburante estivo o invernale. Formulato per pulire i depositi dagli iniettori e lubrificare la pompa ad alta pressione e gli iniettori per ridurre l'usura, migliorando la qualità del carburante. Compatibile con tutti i sistemi di emissione dei gas di scarico, inclusi i filtri antiparticolato diesel (DPF). Seguire tutte le istruzioni raccomandate sull'etichetta del prodotto.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4650469" name="name861869eb1baaeef5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67569eb1baaeef5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Rehlko Extra Performance Arctic Formula, che contiene una sostanza chimica antigelo per trattare il carburante non invernale (n. 2-D in Nord America) durante la stagione fredda. Questo estende l'operatività a circa 10 °C (18 °F) al di sotto del punto di cristallizzazione delle paraffine. Per un'operatività a temperature ancora più basse, utilizzare carburante invernale. Trattare il carburante quando la temperatura esterna scende sotto gli 0 °C (32 °F). Per risultati ottimali, utilizzare carburante non trattato e seguire tutte le istruzioni raccomandate sull'etichetta del prodotto.</w:t>
                  </w:r>
                </w:p>
                <w:p/>
                <w:p/>
                <w:p>
                  <w:pPr>
                    <w:widowControl w:val="on"/>
                    <w:pBdr/>
                    <w:spacing w:before="0" w:after="0" w:line="262" w:lineRule="auto"/>
                    <w:ind w:left="0" w:right="0"/>
                    <w:jc w:val="left"/>
                    <w:textAlignment w:val="center"/>
                  </w:pPr>
                  <w:r>
                    <w:rPr>
                      <w:color w:val="00274C"/>
                      <w:position w:val="-2"/>
                      <w:sz w:val="20"/>
                      <w:szCs w:val="20"/>
                      <w:u w:val="none"/>
                    </w:rPr>
                    <w:t xml:space="preserve">Il punto di cristallizzazione delle paraffine è la temperatura alla quale la cera inizia a depositarsi nel carburante, causando l'intasamento dei filtri.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Per i prodotti suggeriti, contattare lo staff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10677"/>
              </w:numPr>
              <w:spacing w:before="0" w:after="0" w:line="262" w:lineRule="auto"/>
              <w:jc w:val="left"/>
              <w:rPr>
                <w:color w:val="00274C"/>
                <w:sz w:val="20"/>
                <w:szCs w:val="20"/>
              </w:rPr>
            </w:pPr>
            <w:r>
              <w:rPr>
                <w:color w:val="00274C"/>
                <w:position w:val="-2"/>
                <w:sz w:val="20"/>
                <w:szCs w:val="20"/>
                <w:u w:val="none"/>
              </w:rPr>
              <w:t xml:space="preserve">Conosciuto come "AUS 32" in Europa, "DEF" negli USA o "Urea Solution", è registrato con il marchio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al Verband der Automobilindustrie (VDA ) e deve rispettare le seguenti norme ISO:</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10678"/>
              </w:numPr>
              <w:spacing w:before="0" w:after="0" w:line="262" w:lineRule="auto"/>
              <w:jc w:val="left"/>
              <w:rPr>
                <w:color w:val="00274C"/>
                <w:sz w:val="20"/>
                <w:szCs w:val="20"/>
              </w:rPr>
            </w:pPr>
            <w:r>
              <w:rPr>
                <w:color w:val="00274C"/>
                <w:position w:val="-2"/>
                <w:sz w:val="20"/>
                <w:szCs w:val="20"/>
                <w:u w:val="none"/>
              </w:rPr>
              <w:t xml:space="preserve">Il rifornimento del serbatoio DEF deve essere eseguito tramite apposita pistola automatica presso i distributori abilitati, consultare il manuale della macchina per le operazioni di rifornimento.</w:t>
            </w:r>
          </w:p>
          <w:p>
            <w:pPr>
              <w:numPr>
                <w:ilvl w:val="0"/>
                <w:numId w:val="10678"/>
              </w:numPr>
              <w:spacing w:before="0" w:after="0" w:line="262" w:lineRule="auto"/>
              <w:jc w:val="left"/>
              <w:rPr>
                <w:color w:val="00274C"/>
                <w:sz w:val="20"/>
                <w:szCs w:val="20"/>
              </w:rPr>
            </w:pPr>
            <w:r>
              <w:rPr>
                <w:color w:val="00274C"/>
                <w:position w:val="-2"/>
                <w:sz w:val="20"/>
                <w:szCs w:val="20"/>
                <w:u w:val="none"/>
              </w:rPr>
              <w:t xml:space="preserve">Al rifornimento, rispettare il livello del MAX presente sul serbatoio.</w:t>
            </w:r>
          </w:p>
          <w:p>
            <w:pPr>
              <w:numPr>
                <w:ilvl w:val="0"/>
                <w:numId w:val="10678"/>
              </w:numPr>
              <w:spacing w:before="0" w:after="0" w:line="262" w:lineRule="auto"/>
              <w:jc w:val="left"/>
              <w:rPr>
                <w:color w:val="00274C"/>
                <w:sz w:val="20"/>
                <w:szCs w:val="20"/>
              </w:rPr>
            </w:pPr>
            <w:r>
              <w:rPr>
                <w:color w:val="00274C"/>
                <w:position w:val="-2"/>
                <w:sz w:val="20"/>
                <w:szCs w:val="20"/>
                <w:u w:val="none"/>
              </w:rPr>
              <w:t xml:space="preserve">Durante le operazioni di rifornimento deve essere evitato l’introduzione nel serbatoio di qualsiasi genere di impurità.</w:t>
            </w:r>
          </w:p>
          <w:p>
            <w:pPr>
              <w:numPr>
                <w:ilvl w:val="0"/>
                <w:numId w:val="10678"/>
              </w:numPr>
              <w:spacing w:before="0" w:after="0" w:line="262" w:lineRule="auto"/>
              <w:jc w:val="left"/>
              <w:rPr>
                <w:color w:val="00274C"/>
                <w:sz w:val="20"/>
                <w:szCs w:val="20"/>
              </w:rPr>
            </w:pPr>
            <w:r>
              <w:rPr>
                <w:color w:val="00274C"/>
                <w:position w:val="-2"/>
                <w:sz w:val="20"/>
                <w:szCs w:val="20"/>
                <w:u w:val="none"/>
              </w:rPr>
              <w:t xml:space="preserve">Nell’imbocco del serbatoio è presente un filtro che deve essere periodicamente pulito o sostituito (vedere la tabella di manutenzione e sostituzione - solo per serbatoio fornito da </w:t>
            </w:r>
            <w:r>
              <w:rPr>
                <w:b/>
                <w:bCs/>
                <w:color w:val="00274C"/>
                <w:position w:val="-2"/>
                <w:sz w:val="20"/>
                <w:szCs w:val="20"/>
                <w:u w:val="none"/>
              </w:rPr>
              <w:t xml:space="preserve">REHLKO</w:t>
            </w:r>
            <w:r>
              <w:rPr>
                <w:color w:val="00274C"/>
                <w:position w:val="-2"/>
                <w:sz w:val="20"/>
                <w:szCs w:val="20"/>
                <w:u w:val="none"/>
              </w:rPr>
              <w:t xml:space="preserve"> ).</w:t>
            </w:r>
          </w:p>
          <w:p>
            <w:pPr>
              <w:numPr>
                <w:ilvl w:val="0"/>
                <w:numId w:val="10678"/>
              </w:numPr>
              <w:spacing w:before="0" w:after="0" w:line="262" w:lineRule="auto"/>
              <w:jc w:val="left"/>
              <w:rPr>
                <w:color w:val="00274C"/>
                <w:sz w:val="20"/>
                <w:szCs w:val="20"/>
              </w:rPr>
            </w:pPr>
            <w:r>
              <w:rPr>
                <w:color w:val="00274C"/>
                <w:position w:val="-2"/>
                <w:sz w:val="20"/>
                <w:szCs w:val="20"/>
                <w:u w:val="none"/>
              </w:rPr>
              <w:t xml:space="preserve">La qualità dell'DEF deve rispettare le specifiche descritte in Tab.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147725" name="name816169eb1bab014d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03169eb1bab014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Avvertenza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Non miscelare DEF con il carburante o altri liquidi (acqua compresa) e non rifornire il serbatoio carburante con DEF.</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La presenza del DEF all'interno dell'apposito serbatoio è necessaria per l'avviamento del motore.</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Acquisto in contenitori: il contenitore anche se aperto può essere stoccato con le medesime condizioni del contenitore sigillato.</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Non stoccare il contenitore ad una temperatura superiore ai 35° in quanto causerebbe un alterazione dell' DEF.</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 caso di congelamento del DEF all'interno del contenitore (&lt; -11,5 °C | 11,3 °F), il DEF può essere utilizzato quando tornato allo stato liquido.</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Non esporre DEF alla luce diretta del sole.</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 caso di apertura e chiusura del contenitore di acquisto originale, il DEF deve essere controllato tramite spettrometro per verificarne la qualità prima del suo riutilizzo.</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Non immettere nel serbatoio DEF alterato in quanto il motore potrebbe non rispettare i parametri di emissioni, generare degli errori da parte della DCU e di conseguenza lo spegnimento o la non accensione del motore.</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PARAMETRI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Titolo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a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di rifrazione a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Alcalinità come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Insolubili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Fosfati come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Cromo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Alluminio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Punto di congelamento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È preferibile utilizzare il refrigerante prediluito Rehlko Xtended™ al 50% di glicole etilenico OAT.</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4076712" name="name319569eb1bab0b53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88869eb1bab0b535"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Si raccomanda inoltre l'uso di refrigeranti conformi alle seguenti specifiche.</w:t>
            </w:r>
          </w:p>
          <w:p/>
          <w:p/>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933572" name="name615369eb1bab109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5969eb1bab109a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Batteria non di fornitura </w:t>
            </w:r>
            <w:r>
              <w:rPr>
                <w:color w:val="00274C"/>
                <w:position w:val="-2"/>
                <w:sz w:val="20"/>
                <w:szCs w:val="20"/>
                <w:u w:val="none"/>
              </w:rPr>
              <w:t xml:space="preserve"> </w:t>
            </w:r>
            <w:r>
              <w:rPr>
                <w:b/>
                <w:bCs/>
                <w:color w:val="000000"/>
                <w:position w:val="-2"/>
                <w:sz w:val="20"/>
                <w:szCs w:val="20"/>
                <w:u w:val="none"/>
              </w:rPr>
              <w:t xml:space="preserve">REHLKO</w:t>
            </w:r>
          </w:p>
          <w:p/>
          <w:p/>
          <w:p>
            <w:pPr>
              <w:widowControl w:val="on"/>
              <w:pBdr/>
              <w:spacing w:before="0" w:after="0" w:line="262" w:lineRule="auto"/>
              <w:ind w:left="0" w:right="0"/>
              <w:jc w:val="left"/>
              <w:textAlignment w:val="center"/>
            </w:pPr>
            <w:r>
              <w:rPr>
                <w:b/>
                <w:bCs/>
                <w:color w:val="00274C"/>
                <w:position w:val="-2"/>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MOTORINO AVVIAMENTO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CONDIZIONE MACCHINA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carichi parassitici idraulici leggeri o frizione e cambio meccanico</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carichi parassitici idraulici pesanti</w:t>
                  </w:r>
                </w:p>
                <w:p/>
              </w:tc>
            </w:tr>
          </w:tbl>
          <w:p/>
        </w:tc>
      </w:tr>
    </w:tbl>
    <w:p>
      <w:pPr>
        <w:widowControl w:val="on"/>
        <w:pBdr/>
        <w:spacing w:before="0" w:after="0" w:line="262" w:lineRule="auto"/>
        <w:ind w:left="0" w:right="0"/>
        <w:jc w:val="left"/>
      </w:pPr>
      <w:r>
        <w:rPr>
          <w:color w:val="00274C"/>
          <w:sz w:val="20"/>
          <w:szCs w:val="20"/>
          <w:u w:val="none"/>
        </w:rPr>
        <w:t xml:space="preserve"> </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ATS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L'inducement è l'operazione di riduzione delle performance del motore dovuta al rilevamento da parte della DCU ad un malfunzionamento o manomissione dell'impianto ATS.</w:t>
            </w:r>
            <w:r>
              <w:rPr>
                <w:color w:val="00274C"/>
                <w:position w:val="-2"/>
                <w:sz w:val="20"/>
                <w:szCs w:val="20"/>
                <w:u w:val="none"/>
              </w:rPr>
              <w:br/>
              <w:br/>
              <w:t xml:space="preserve">Il grado di Inducement viene deciso dalla ECU in base all'errore che la DCU ha rilevato.</w:t>
            </w:r>
            <w:r>
              <w:rPr>
                <w:color w:val="00274C"/>
                <w:position w:val="-2"/>
                <w:sz w:val="20"/>
                <w:szCs w:val="20"/>
                <w:u w:val="none"/>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Basso livello di DEF</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Qualità scadente delDEF</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Interruzione del dosaggio di DEF</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Malfunzionamento della valvola EGR</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Manomissione dei sistemi di monitoraggio dell'impianto ATS.</w:t>
            </w:r>
          </w:p>
          <w:p>
            <w:pPr>
              <w:widowControl w:val="on"/>
              <w:pBdr/>
              <w:spacing w:before="0" w:after="0" w:line="240" w:lineRule="auto"/>
              <w:ind w:left="0" w:right="0"/>
              <w:jc w:val="left"/>
            </w:pPr>
            <w:r>
              <w:rPr>
                <w:color w:val="00274C"/>
                <w:position w:val="-2"/>
                <w:sz w:val="20"/>
                <w:szCs w:val="20"/>
                <w:u w:val="none"/>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problema rilevato</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ore trascorse.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le ore vengono azzerate dopo 40h senza rilevamento di alcuna anomalia da parte della DCU, in caso contrario le ore vengono sommate alle precedenti già contabilizzate. Per il basso livello di DEF l'attivazione avviene in base alla percentuale di liquido presente all'interno del serbatoio DEF, non vengono contabilizzate le ore di anomalia.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Di seguito si elenca la strategia per le varie anomalie (Stage V - EU):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L'Inducement può essere di 2 livelli, di seguito elencati:</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1° livello: riduzione del 25% della coppia MAX disponibile.</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2° livello: riduzione del 50% della coppia MAX disponibile e riduzione del 40% dei giri MAX disponibili.</w:t>
            </w:r>
          </w:p>
          <w:p/>
          <w:p>
            <w:pPr>
              <w:widowControl w:val="on"/>
              <w:pBdr/>
              <w:spacing w:before="0" w:after="0" w:line="240" w:lineRule="auto"/>
              <w:ind w:left="0" w:right="0"/>
              <w:jc w:val="left"/>
            </w:pPr>
            <w:r>
              <w:rPr>
                <w:color w:val="00274C"/>
                <w:position w:val="-2"/>
                <w:sz w:val="20"/>
                <w:szCs w:val="20"/>
                <w:u w:val="none"/>
              </w:rPr>
              <w:t xml:space="preserve">
Prima dell'attivazione dell'Inducement (1° livello o 2°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Basso livello di DEF</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attivazione informazione sul quadro macchina: &lt;10% del livello MAX</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1° livello: &lt;2.5% del livello MAX</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u w:val="none"/>
              </w:rPr>
              <w:t xml:space="preserve">Qualità scadente del DEF</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1° livello: dopo 10h dal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Interruzione del dosaggio di DEF</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1° livello: dopo 10h dal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Malfunzionamento della valvola EGR</w:t>
            </w:r>
          </w:p>
          <w:p>
            <w:pPr>
              <w:numPr>
                <w:ilvl w:val="0"/>
                <w:numId w:val="10675"/>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1° livello: dopo 36h dal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Manomissione dei sistemi di monitoraggio dell'impianto ATS</w:t>
            </w:r>
          </w:p>
          <w:p>
            <w:pPr>
              <w:numPr>
                <w:ilvl w:val="0"/>
                <w:numId w:val="10675"/>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1° livello: dopo 36h dal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2° livello: dopo 100h dal rilevamento dell'anomalia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Di seguito si elenca la strategia per le varie anomalie (Tier 4 Final - USA):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L'Inducement può essere di 3 livelli, di seguito elencati:</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1° livello: riduzione del 25% della coppia MAX disponibile.</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2° livello: riduzione del 50% della coppia MAX disponibile e riduzione del 40% dei giri MAX disponibili.</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3° livello: il motore lavora al minimo dei giri e della coppia MAX disponibile</w:t>
            </w:r>
          </w:p>
          <w:p/>
          <w:p>
            <w:pPr>
              <w:widowControl w:val="on"/>
              <w:pBdr/>
              <w:spacing w:before="0" w:after="0" w:line="240" w:lineRule="auto"/>
              <w:ind w:left="0" w:right="0"/>
              <w:jc w:val="left"/>
            </w:pPr>
            <w:r>
              <w:rPr>
                <w:color w:val="00274C"/>
                <w:position w:val="-2"/>
                <w:sz w:val="20"/>
                <w:szCs w:val="20"/>
                <w:u w:val="none"/>
              </w:rPr>
              <w:t xml:space="preserve">
Prima dell'attivazione dell'Inducement (1° livello, 2° livello o 3°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Basso livello di DEF</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attivazione informazione sul quadro macchina: &lt;15% del livello MAX</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1° livello: &lt;5% del livello MAX</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2° livello: &lt;2.5% del livello MAX</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3° livello: &lt;0.5% del livello MAX</w:t>
            </w:r>
          </w:p>
          <w:p>
            <w:pPr>
              <w:widowControl w:val="on"/>
              <w:pBdr/>
              <w:spacing w:before="0" w:after="0" w:line="240" w:lineRule="auto"/>
              <w:ind w:left="0" w:right="0"/>
              <w:jc w:val="left"/>
            </w:pPr>
            <w:r>
              <w:rPr>
                <w:b/>
                <w:bCs/>
                <w:i/>
                <w:iCs/>
                <w:color w:val="00274C"/>
                <w:position w:val="-2"/>
                <w:sz w:val="20"/>
                <w:szCs w:val="20"/>
                <w:u w:val="none"/>
              </w:rPr>
              <w:t xml:space="preserve">Qualità scadente del DEF</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Interruzione del dosaggio di DEF</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attivazione informazione sul quadro macchina: 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Malfunzionamento della valvola EGR</w:t>
            </w:r>
          </w:p>
          <w:p>
            <w:pPr>
              <w:numPr>
                <w:ilvl w:val="0"/>
                <w:numId w:val="10675"/>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u w:val="none"/>
              </w:rPr>
              <w:t xml:space="preserve">Manomissione dei sistemi di monitoraggio dell'impianto ATS</w:t>
            </w:r>
          </w:p>
          <w:p>
            <w:pPr>
              <w:numPr>
                <w:ilvl w:val="0"/>
                <w:numId w:val="10675"/>
              </w:numPr>
              <w:spacing w:before="0" w:after="0" w:line="262" w:lineRule="auto"/>
              <w:jc w:val="left"/>
              <w:rPr>
                <w:color w:val="00274C"/>
                <w:sz w:val="20"/>
                <w:szCs w:val="20"/>
              </w:rPr>
            </w:pPr>
            <w:r>
              <w:rPr>
                <w:color w:val="00274C"/>
                <w:position w:val="-2"/>
                <w:sz w:val="20"/>
                <w:szCs w:val="20"/>
                <w:u w:val="none"/>
              </w:rPr>
              <w:br/>
              <w:t xml:space="preserve">attivazione informazione sul quadro macchina: 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1° livello: dopo 1h dal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2° livello: dopo 2h dal rilevamento dell'anomalia</w:t>
            </w:r>
          </w:p>
          <w:p>
            <w:pPr>
              <w:numPr>
                <w:ilvl w:val="0"/>
                <w:numId w:val="10675"/>
              </w:numPr>
              <w:spacing w:before="0" w:after="0" w:line="262" w:lineRule="auto"/>
              <w:jc w:val="left"/>
              <w:rPr>
                <w:color w:val="00274C"/>
                <w:sz w:val="20"/>
                <w:szCs w:val="20"/>
              </w:rPr>
            </w:pPr>
            <w:r>
              <w:rPr>
                <w:color w:val="00274C"/>
                <w:position w:val="-2"/>
                <w:sz w:val="20"/>
                <w:szCs w:val="20"/>
                <w:u w:val="none"/>
              </w:rPr>
              <w:t xml:space="preserve">Inducement di 3° livello: dopo 3h dal rilevamento dell'anomalia</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0678">
    <w:multiLevelType w:val="hybridMultilevel"/>
    <w:lvl w:ilvl="0" w:tplc="18686077">
      <w:start w:val="1"/>
      <w:numFmt w:val="decimal"/>
      <w:lvlText w:val="%1."/>
      <w:lvlJc w:val="left"/>
      <w:pPr>
        <w:ind w:left="720" w:hanging="360"/>
      </w:pPr>
    </w:lvl>
    <w:lvl w:ilvl="1" w:tplc="18686077" w:tentative="1">
      <w:start w:val="1"/>
      <w:numFmt w:val="lowerLetter"/>
      <w:lvlText w:val="%2."/>
      <w:lvlJc w:val="left"/>
      <w:pPr>
        <w:ind w:left="1440" w:hanging="360"/>
      </w:pPr>
    </w:lvl>
    <w:lvl w:ilvl="2" w:tplc="18686077" w:tentative="1">
      <w:start w:val="1"/>
      <w:numFmt w:val="lowerRoman"/>
      <w:lvlText w:val="%3."/>
      <w:lvlJc w:val="right"/>
      <w:pPr>
        <w:ind w:left="2160" w:hanging="180"/>
      </w:pPr>
    </w:lvl>
    <w:lvl w:ilvl="3" w:tplc="18686077" w:tentative="1">
      <w:start w:val="1"/>
      <w:numFmt w:val="decimal"/>
      <w:lvlText w:val="%4."/>
      <w:lvlJc w:val="left"/>
      <w:pPr>
        <w:ind w:left="2880" w:hanging="360"/>
      </w:pPr>
    </w:lvl>
    <w:lvl w:ilvl="4" w:tplc="18686077" w:tentative="1">
      <w:start w:val="1"/>
      <w:numFmt w:val="lowerLetter"/>
      <w:lvlText w:val="%5."/>
      <w:lvlJc w:val="left"/>
      <w:pPr>
        <w:ind w:left="3600" w:hanging="360"/>
      </w:pPr>
    </w:lvl>
    <w:lvl w:ilvl="5" w:tplc="18686077" w:tentative="1">
      <w:start w:val="1"/>
      <w:numFmt w:val="lowerRoman"/>
      <w:lvlText w:val="%6."/>
      <w:lvlJc w:val="right"/>
      <w:pPr>
        <w:ind w:left="4320" w:hanging="180"/>
      </w:pPr>
    </w:lvl>
    <w:lvl w:ilvl="6" w:tplc="18686077" w:tentative="1">
      <w:start w:val="1"/>
      <w:numFmt w:val="decimal"/>
      <w:lvlText w:val="%7."/>
      <w:lvlJc w:val="left"/>
      <w:pPr>
        <w:ind w:left="5040" w:hanging="360"/>
      </w:pPr>
    </w:lvl>
    <w:lvl w:ilvl="7" w:tplc="18686077" w:tentative="1">
      <w:start w:val="1"/>
      <w:numFmt w:val="lowerLetter"/>
      <w:lvlText w:val="%8."/>
      <w:lvlJc w:val="left"/>
      <w:pPr>
        <w:ind w:left="5760" w:hanging="360"/>
      </w:pPr>
    </w:lvl>
    <w:lvl w:ilvl="8" w:tplc="18686077" w:tentative="1">
      <w:start w:val="1"/>
      <w:numFmt w:val="lowerRoman"/>
      <w:lvlText w:val="%9."/>
      <w:lvlJc w:val="right"/>
      <w:pPr>
        <w:ind w:left="6480" w:hanging="180"/>
      </w:pPr>
    </w:lvl>
  </w:abstractNum>
  <w:abstractNum w:abstractNumId="10677">
    <w:multiLevelType w:val="hybridMultilevel"/>
    <w:lvl w:ilvl="0" w:tplc="47856896">
      <w:start w:val="1"/>
      <w:numFmt w:val="decimal"/>
      <w:lvlText w:val="%1."/>
      <w:lvlJc w:val="left"/>
      <w:pPr>
        <w:ind w:left="720" w:hanging="360"/>
      </w:pPr>
    </w:lvl>
    <w:lvl w:ilvl="1" w:tplc="47856896" w:tentative="1">
      <w:start w:val="1"/>
      <w:numFmt w:val="lowerLetter"/>
      <w:lvlText w:val="%2."/>
      <w:lvlJc w:val="left"/>
      <w:pPr>
        <w:ind w:left="1440" w:hanging="360"/>
      </w:pPr>
    </w:lvl>
    <w:lvl w:ilvl="2" w:tplc="47856896" w:tentative="1">
      <w:start w:val="1"/>
      <w:numFmt w:val="lowerRoman"/>
      <w:lvlText w:val="%3."/>
      <w:lvlJc w:val="right"/>
      <w:pPr>
        <w:ind w:left="2160" w:hanging="180"/>
      </w:pPr>
    </w:lvl>
    <w:lvl w:ilvl="3" w:tplc="47856896" w:tentative="1">
      <w:start w:val="1"/>
      <w:numFmt w:val="decimal"/>
      <w:lvlText w:val="%4."/>
      <w:lvlJc w:val="left"/>
      <w:pPr>
        <w:ind w:left="2880" w:hanging="360"/>
      </w:pPr>
    </w:lvl>
    <w:lvl w:ilvl="4" w:tplc="47856896" w:tentative="1">
      <w:start w:val="1"/>
      <w:numFmt w:val="lowerLetter"/>
      <w:lvlText w:val="%5."/>
      <w:lvlJc w:val="left"/>
      <w:pPr>
        <w:ind w:left="3600" w:hanging="360"/>
      </w:pPr>
    </w:lvl>
    <w:lvl w:ilvl="5" w:tplc="47856896" w:tentative="1">
      <w:start w:val="1"/>
      <w:numFmt w:val="lowerRoman"/>
      <w:lvlText w:val="%6."/>
      <w:lvlJc w:val="right"/>
      <w:pPr>
        <w:ind w:left="4320" w:hanging="180"/>
      </w:pPr>
    </w:lvl>
    <w:lvl w:ilvl="6" w:tplc="47856896" w:tentative="1">
      <w:start w:val="1"/>
      <w:numFmt w:val="decimal"/>
      <w:lvlText w:val="%7."/>
      <w:lvlJc w:val="left"/>
      <w:pPr>
        <w:ind w:left="5040" w:hanging="360"/>
      </w:pPr>
    </w:lvl>
    <w:lvl w:ilvl="7" w:tplc="47856896" w:tentative="1">
      <w:start w:val="1"/>
      <w:numFmt w:val="lowerLetter"/>
      <w:lvlText w:val="%8."/>
      <w:lvlJc w:val="left"/>
      <w:pPr>
        <w:ind w:left="5760" w:hanging="360"/>
      </w:pPr>
    </w:lvl>
    <w:lvl w:ilvl="8" w:tplc="47856896" w:tentative="1">
      <w:start w:val="1"/>
      <w:numFmt w:val="lowerRoman"/>
      <w:lvlText w:val="%9."/>
      <w:lvlJc w:val="right"/>
      <w:pPr>
        <w:ind w:left="6480" w:hanging="180"/>
      </w:pPr>
    </w:lvl>
  </w:abstractNum>
  <w:abstractNum w:abstractNumId="10676">
    <w:multiLevelType w:val="hybridMultilevel"/>
    <w:lvl w:ilvl="0" w:tplc="75792897">
      <w:start w:val="1"/>
      <w:numFmt w:val="decimal"/>
      <w:lvlText w:val="%1."/>
      <w:lvlJc w:val="left"/>
      <w:pPr>
        <w:ind w:left="720" w:hanging="360"/>
      </w:pPr>
    </w:lvl>
    <w:lvl w:ilvl="1" w:tplc="75792897" w:tentative="1">
      <w:start w:val="1"/>
      <w:numFmt w:val="lowerLetter"/>
      <w:lvlText w:val="%2."/>
      <w:lvlJc w:val="left"/>
      <w:pPr>
        <w:ind w:left="1440" w:hanging="360"/>
      </w:pPr>
    </w:lvl>
    <w:lvl w:ilvl="2" w:tplc="75792897" w:tentative="1">
      <w:start w:val="1"/>
      <w:numFmt w:val="lowerRoman"/>
      <w:lvlText w:val="%3."/>
      <w:lvlJc w:val="right"/>
      <w:pPr>
        <w:ind w:left="2160" w:hanging="180"/>
      </w:pPr>
    </w:lvl>
    <w:lvl w:ilvl="3" w:tplc="75792897" w:tentative="1">
      <w:start w:val="1"/>
      <w:numFmt w:val="decimal"/>
      <w:lvlText w:val="%4."/>
      <w:lvlJc w:val="left"/>
      <w:pPr>
        <w:ind w:left="2880" w:hanging="360"/>
      </w:pPr>
    </w:lvl>
    <w:lvl w:ilvl="4" w:tplc="75792897" w:tentative="1">
      <w:start w:val="1"/>
      <w:numFmt w:val="lowerLetter"/>
      <w:lvlText w:val="%5."/>
      <w:lvlJc w:val="left"/>
      <w:pPr>
        <w:ind w:left="3600" w:hanging="360"/>
      </w:pPr>
    </w:lvl>
    <w:lvl w:ilvl="5" w:tplc="75792897" w:tentative="1">
      <w:start w:val="1"/>
      <w:numFmt w:val="lowerRoman"/>
      <w:lvlText w:val="%6."/>
      <w:lvlJc w:val="right"/>
      <w:pPr>
        <w:ind w:left="4320" w:hanging="180"/>
      </w:pPr>
    </w:lvl>
    <w:lvl w:ilvl="6" w:tplc="75792897" w:tentative="1">
      <w:start w:val="1"/>
      <w:numFmt w:val="decimal"/>
      <w:lvlText w:val="%7."/>
      <w:lvlJc w:val="left"/>
      <w:pPr>
        <w:ind w:left="5040" w:hanging="360"/>
      </w:pPr>
    </w:lvl>
    <w:lvl w:ilvl="7" w:tplc="75792897" w:tentative="1">
      <w:start w:val="1"/>
      <w:numFmt w:val="lowerLetter"/>
      <w:lvlText w:val="%8."/>
      <w:lvlJc w:val="left"/>
      <w:pPr>
        <w:ind w:left="5760" w:hanging="360"/>
      </w:pPr>
    </w:lvl>
    <w:lvl w:ilvl="8" w:tplc="75792897" w:tentative="1">
      <w:start w:val="1"/>
      <w:numFmt w:val="lowerRoman"/>
      <w:lvlText w:val="%9."/>
      <w:lvlJc w:val="right"/>
      <w:pPr>
        <w:ind w:left="6480" w:hanging="180"/>
      </w:pPr>
    </w:lvl>
  </w:abstractNum>
  <w:abstractNum w:abstractNumId="10675">
    <w:multiLevelType w:val="hybridMultilevel"/>
    <w:lvl w:ilvl="0" w:tplc="976308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675">
    <w:abstractNumId w:val="10675"/>
  </w:num>
  <w:num w:numId="10676">
    <w:abstractNumId w:val="10676"/>
  </w:num>
  <w:num w:numId="10677">
    <w:abstractNumId w:val="10677"/>
  </w:num>
  <w:num w:numId="10678">
    <w:abstractNumId w:val="106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88236743" Type="http://schemas.openxmlformats.org/officeDocument/2006/relationships/comments" Target="comments.xml"/><Relationship Id="rId210275462" Type="http://schemas.microsoft.com/office/2011/relationships/commentsExtended" Target="commentsExtended.xml"/><Relationship Id="rId80436259" Type="http://schemas.openxmlformats.org/officeDocument/2006/relationships/image" Target="media/imgrId80436259.jpg"/><Relationship Id="rId125569eb1baac7789" Type="http://schemas.openxmlformats.org/officeDocument/2006/relationships/hyperlink" Target="https://iservice.lombardini.it/jsp/Template2/manuale.jsp?id=203&amp;parent=1000" TargetMode="External"/><Relationship Id="rId222469eb1baaaff83" Type="http://schemas.openxmlformats.org/officeDocument/2006/relationships/image" Target="media/imgrId222469eb1baaaff83.png"/><Relationship Id="rId249269eb1baabeab3" Type="http://schemas.openxmlformats.org/officeDocument/2006/relationships/image" Target="media/imgrId249269eb1baabeab3.png"/><Relationship Id="rId804569eb1baac30f3" Type="http://schemas.openxmlformats.org/officeDocument/2006/relationships/image" Target="media/imgrId804569eb1baac30f3.jpg"/><Relationship Id="rId802469eb1baac7259" Type="http://schemas.openxmlformats.org/officeDocument/2006/relationships/image" Target="media/imgrId802469eb1baac7259.jpg"/><Relationship Id="rId936069eb1baacba05" Type="http://schemas.openxmlformats.org/officeDocument/2006/relationships/image" Target="media/imgrId936069eb1baacba05.jpg"/><Relationship Id="rId581669eb1baacf93d" Type="http://schemas.openxmlformats.org/officeDocument/2006/relationships/image" Target="media/imgrId581669eb1baacf93d.jpg"/><Relationship Id="rId759769eb1baad337b" Type="http://schemas.openxmlformats.org/officeDocument/2006/relationships/image" Target="media/imgrId759769eb1baad337b.jpg"/><Relationship Id="rId883169eb1baadad5d" Type="http://schemas.openxmlformats.org/officeDocument/2006/relationships/image" Target="media/imgrId883169eb1baadad5d.png"/><Relationship Id="rId818369eb1baadea06" Type="http://schemas.openxmlformats.org/officeDocument/2006/relationships/image" Target="media/imgrId818369eb1baadea06.png"/><Relationship Id="rId434869eb1baae75ef" Type="http://schemas.openxmlformats.org/officeDocument/2006/relationships/image" Target="media/imgrId434869eb1baae75ef.jpg"/><Relationship Id="rId967569eb1baaeef55" Type="http://schemas.openxmlformats.org/officeDocument/2006/relationships/image" Target="media/imgrId967569eb1baaeef55.jpg"/><Relationship Id="rId903169eb1bab014d9" Type="http://schemas.openxmlformats.org/officeDocument/2006/relationships/image" Target="media/imgrId903169eb1bab014d9.png"/><Relationship Id="rId588869eb1bab0b535" Type="http://schemas.openxmlformats.org/officeDocument/2006/relationships/image" Target="media/imgrId588869eb1bab0b535.jpg"/><Relationship Id="rId665969eb1bab109ad" Type="http://schemas.openxmlformats.org/officeDocument/2006/relationships/image" Target="media/imgrId665969eb1bab109a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0436259" Type="http://schemas.openxmlformats.org/officeDocument/2006/relationships/image" Target="media/imgrId8043625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0436259" Type="http://schemas.openxmlformats.org/officeDocument/2006/relationships/image" Target="media/imgrId8043625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0436259" Type="http://schemas.openxmlformats.org/officeDocument/2006/relationships/image" Target="media/imgrId8043625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0436259" Type="http://schemas.openxmlformats.org/officeDocument/2006/relationships/image" Target="media/imgrId8043625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0436259" Type="http://schemas.openxmlformats.org/officeDocument/2006/relationships/image" Target="media/imgrId8043625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0436259" Type="http://schemas.openxmlformats.org/officeDocument/2006/relationships/image" Target="media/imgrId804362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