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KDI 3404 TCR / KDI 3404 TCR HT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3275221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710423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9528304" w:name="ctxt"/>
    <w:bookmarkEnd w:id="49528304"/>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soupapes par cylindre avec poussoirs hydrauliques;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Turbocompresseur avec soupape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directe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6498672" name="name862369eb470c2a225"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584869eb470c2a223" cstate="print"/>
                          <a:stretch>
                            <a:fillRect/>
                          </a:stretch>
                        </pic:blipFill>
                        <pic:spPr>
                          <a:xfrm>
                            <a:off x="0" y="0"/>
                            <a:ext cx="1281600" cy="8424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3168216" w:name="result_box"/>
          <w:bookmarkEnd w:id="33168216"/>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401501" w:name="result_box"/>
          <w:bookmarkEnd w:id="5401501"/>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 avec filtre à huile monté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Les cotes d'encombrement varient en fonction de la configuration du moteur.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2666722" name="name679269eb470c37d5d"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937169eb470c37d5b"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691178" name="name570569eb470c3aa9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8169eb470c3aa9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977"/>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8977"/>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8977"/>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8977"/>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8977"/>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58276" name="name500369eb470c3fed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0169eb470c3fed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977"/>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8977"/>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8977"/>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8977"/>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8977"/>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0000"/>
          <w:sz w:val="20"/>
          <w:szCs w:val="20"/>
          <w:u w:val="none"/>
        </w:rPr>
        <w:t xml:space="preserve">Utiliser la viscosité d'huile basée sur la plage de température de l'air observée pendant la période entre les vidanges d'huile, comme indiqué dans le tableau ci-dessous.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Rehlko X-treme 10W-40 formula pro ; X-treme 10W-40 ; X-treme 5W-40 sont recommandées en priorité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6163688" name="name228169eb470c4752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24869eb470c4751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0916404" name="name349269eb470c4edfa"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03169eb470c4edf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8648089" name="name622969eb470c539f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40969eb470c539f9"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Les huiles répondant aux spécifications suivantes sont également recommandées.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numPr>
          <w:ilvl w:val="0"/>
          <w:numId w:val="8977"/>
        </w:numPr>
        <w:spacing w:before="0" w:after="0" w:line="240" w:lineRule="auto"/>
        <w:jc w:val="left"/>
        <w:rPr>
          <w:color w:val="00274C"/>
          <w:sz w:val="20"/>
          <w:szCs w:val="20"/>
        </w:rPr>
      </w:pPr>
      <w:r>
        <w:rPr>
          <w:color w:val="00274C"/>
          <w:sz w:val="20"/>
          <w:szCs w:val="20"/>
          <w:u w:val="none"/>
        </w:rPr>
        <w:t xml:space="preserve">La technologie Low S.AP.S. (huile présentant une faible teneur en cendres sulfatées, en phosphore et en soufre), maintient le catalyseur en bonnes conditions de fonctionnement. La présence de cendres sulfatées, de phosphore et de soufre entraîne au fil du temps un colmatage du catalyseur et donc son manque d’efficacité.</w:t>
      </w:r>
    </w:p>
    <w:p>
      <w:pPr>
        <w:numPr>
          <w:ilvl w:val="0"/>
          <w:numId w:val="8977"/>
        </w:numPr>
        <w:spacing w:before="0" w:after="0" w:line="240" w:lineRule="auto"/>
        <w:jc w:val="left"/>
        <w:rPr>
          <w:color w:val="00274C"/>
          <w:sz w:val="20"/>
          <w:szCs w:val="20"/>
        </w:rPr>
      </w:pPr>
      <w:r>
        <w:rPr>
          <w:color w:val="00274C"/>
          <w:sz w:val="20"/>
          <w:szCs w:val="20"/>
          <w:u w:val="none"/>
        </w:rPr>
        <w:t xml:space="preserve">Pour la séquence d’huile Mid S.A.P.S, le niveau de cendres sulfatées est identique à l'API CJ-4 ≤ 1,0 %, mais conformément à la normalisation ACEA, ces huiles sont référencées sous Mid SAPS.</w:t>
      </w:r>
    </w:p>
    <w:p>
      <w:pPr>
        <w:numPr>
          <w:ilvl w:val="0"/>
          <w:numId w:val="8977"/>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w:t>
      </w:r>
      <w:r>
        <w:rPr>
          <w:b/>
          <w:bCs/>
          <w:color w:val="00274C"/>
          <w:sz w:val="20"/>
          <w:szCs w:val="20"/>
          <w:u w:val="none"/>
        </w:rPr>
        <w:t xml:space="preserve"> REMARQUE</w:t>
      </w:r>
      <w:r>
        <w:rPr>
          <w:color w:val="00274C"/>
          <w:sz w:val="20"/>
          <w:szCs w:val="20"/>
          <w:u w:val="none"/>
        </w:rPr>
        <w:t xml:space="preserve"> : NE PAS utiliser de carburant dont la teneur en soufre est supérieure à 15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Sur tous les moteurs conformes aux normes sur les émissions Stage-V (moteurs pourvus du dispositif DPF), l’huile utilisée doit être obligatoirement conforme à la spécification API CJ-4 Low S.A.P.S ou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NE PAS utiliser de carburant dont la teneur en soufre est supérieure à 500 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REMARQUE</w:t>
      </w:r>
      <w:r>
        <w:rPr>
          <w:color w:val="00274C"/>
          <w:sz w:val="20"/>
          <w:szCs w:val="20"/>
          <w:u w:val="none"/>
        </w:rPr>
        <w:t xml:space="preserve"> : Les huiles « low SAPS », avec des cendres sulfatées 50 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8906962" name="name532369eb470c5b45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50969eb470c5b45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6697043" name="name123069eb470c6338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34569eb470c6337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8977"/>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8977"/>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8977"/>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b/>
                <w:bCs/>
                <w:color w:val="00274C"/>
                <w:position w:val="-2"/>
                <w:sz w:val="20"/>
                <w:szCs w:val="20"/>
                <w:u w:val="none"/>
              </w:rPr>
              <w:t xml:space="preserve">Moteurs à réglementation stricte (UE, États-Unis, Canada, Japon, Chine, Inde)</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UE EN 590</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Amérique du Nord ASTM D975 n° 2-D S15 ; n° 1-D S15</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Japon JIS K 2204 n° 1 ; n° 2</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Inde BS-V ULSD ; BS-VI ULSD</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Chine GB 19147-2016 ULSD GB 17691—2018 ULSD</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HVO EN 15940 ou ASTM D975</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Carburant militaire OTAN F-54 S &lt; 10 ppm</w:t>
            </w:r>
          </w:p>
          <w:p/>
          <w:p/>
          <w:p>
            <w:pPr>
              <w:widowControl w:val="on"/>
              <w:pBdr/>
              <w:spacing w:before="0" w:after="0" w:line="262" w:lineRule="auto"/>
              <w:ind w:left="0" w:right="0"/>
              <w:jc w:val="left"/>
              <w:textAlignment w:val="center"/>
            </w:pPr>
            <w:r>
              <w:rPr>
                <w:b/>
                <w:bCs/>
                <w:color w:val="00274C"/>
                <w:position w:val="-2"/>
                <w:sz w:val="20"/>
                <w:szCs w:val="20"/>
                <w:u w:val="none"/>
              </w:rPr>
              <w:t xml:space="preserve">Moteurs non réglementés ou soumis à des normes moins strictes (Reste du monde et applications militaires)</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Équivalent aux spécifications ci-dessus</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Équivalent aux spécifications ci-dessus, mais avec une teneur en soufre &lt; 500 ppm</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Équivalent aux spécifications ci-dessus, mais avec une teneur en soufre &lt; 2 000 ppm</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F-34/F-35 (Kérosène, désignation OTAN)  </w:t>
            </w:r>
            <w:r>
              <w:rPr>
                <w:b/>
                <w:bCs/>
                <w:color w:val="00274C"/>
                <w:position w:val="-2"/>
                <w:sz w:val="20"/>
                <w:szCs w:val="20"/>
                <w:u w:val="none"/>
              </w:rPr>
              <w:t xml:space="preserve">(1)</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F-44 (Kérosène, désignation OTAN)  </w:t>
            </w:r>
            <w:r>
              <w:rPr>
                <w:b/>
                <w:bCs/>
                <w:color w:val="00274C"/>
                <w:position w:val="-2"/>
                <w:sz w:val="20"/>
                <w:szCs w:val="20"/>
                <w:u w:val="none"/>
              </w:rPr>
              <w:t xml:space="preserve">(1)</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F-63 (Kérosène, désignation OTAN, équivalent au F-34/F-35 avec additifs)  </w:t>
            </w:r>
            <w:r>
              <w:rPr>
                <w:b/>
                <w:bCs/>
                <w:color w:val="00274C"/>
                <w:position w:val="-2"/>
                <w:sz w:val="20"/>
                <w:szCs w:val="20"/>
                <w:u w:val="none"/>
              </w:rPr>
              <w:t xml:space="preserve">(1)</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JP-8 (Kérosène, désignation militaire américaine)  </w:t>
            </w:r>
            <w:r>
              <w:rPr>
                <w:b/>
                <w:bCs/>
                <w:color w:val="00274C"/>
                <w:position w:val="-2"/>
                <w:sz w:val="20"/>
                <w:szCs w:val="20"/>
                <w:u w:val="none"/>
              </w:rPr>
              <w:t xml:space="preserve">(1)</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JP-5 (Kérosène, désignation militaire américaine)  </w:t>
            </w:r>
            <w:r>
              <w:rPr>
                <w:b/>
                <w:bCs/>
                <w:color w:val="00274C"/>
                <w:position w:val="-2"/>
                <w:sz w:val="20"/>
                <w:szCs w:val="20"/>
                <w:u w:val="none"/>
              </w:rPr>
              <w:t xml:space="preserve">(1)</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Jet A/A1 (civil) Kérosène d'aviation)  </w:t>
            </w:r>
            <w:r>
              <w:rPr>
                <w:b/>
                <w:bCs/>
                <w:color w:val="00274C"/>
                <w:position w:val="-2"/>
                <w:sz w:val="20"/>
                <w:szCs w:val="20"/>
                <w:u w:val="none"/>
              </w:rPr>
              <w:t xml:space="preserve">(1)</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Utilisation de carburants d'aviation : Les carburants d'aviation ne peuvent être utilisés qu'avec un filtre à carburant supplémentaire muni d'un dispositif de dosage de lubrification. En raison de leur faible densité et des pertes de volume accrues dues à leur viscosité réduite, une perte de puissance pouvant atteindre 10 % est possible, selon le régime moteur et le couple. Les carburants d'aviation mentionnés présentent certaines propriétés problématiques (viscosité, pouvoir lubrifiant et point d'ébullition bas). Une légère augmentation de l'usure du système d'injection est à prévoir, ce qui peut entraîner une réduction statistique de la durée de vie de ces composants. La teneur en soufre doit être inférieure à 2 000 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Additifs pour carburant</w:t>
            </w:r>
          </w:p>
          <w:p>
            <w:pPr>
              <w:widowControl w:val="on"/>
              <w:pBdr/>
              <w:spacing w:before="0" w:after="0" w:line="262" w:lineRule="auto"/>
              <w:ind w:left="0" w:right="0"/>
              <w:jc w:val="left"/>
              <w:textAlignment w:val="center"/>
            </w:pPr>
            <w:r>
              <w:rPr>
                <w:color w:val="00274C"/>
                <w:position w:val="-2"/>
                <w:sz w:val="20"/>
                <w:szCs w:val="20"/>
                <w:u w:val="none"/>
              </w:rPr>
              <w:t xml:space="preserve">Afin de maintenir les performances du circuit d'injection, Rehlko a développé une gamme de produits additifs pour le marché nord-américain.</w:t>
            </w:r>
          </w:p>
          <w:p/>
          <w:p/>
          <w:p>
            <w:pPr>
              <w:widowControl w:val="on"/>
              <w:pBdr/>
              <w:spacing w:before="0" w:after="0" w:line="262" w:lineRule="auto"/>
              <w:ind w:left="0" w:right="0"/>
              <w:jc w:val="left"/>
              <w:textAlignment w:val="center"/>
            </w:pPr>
            <w:r>
              <w:rPr>
                <w:color w:val="00274C"/>
                <w:position w:val="-2"/>
                <w:sz w:val="20"/>
                <w:szCs w:val="20"/>
                <w:u w:val="none"/>
              </w:rPr>
              <w:t xml:space="preserve">L'additif pour carburant  </w:t>
            </w:r>
            <w:r>
              <w:rPr>
                <w:b/>
                <w:bCs/>
                <w:color w:val="00274C"/>
                <w:position w:val="-2"/>
                <w:sz w:val="20"/>
                <w:szCs w:val="20"/>
                <w:u w:val="none"/>
              </w:rPr>
              <w:t xml:space="preserve">Extra Performance</w:t>
            </w:r>
            <w:r>
              <w:rPr>
                <w:color w:val="00274C"/>
                <w:position w:val="-2"/>
                <w:sz w:val="20"/>
                <w:szCs w:val="20"/>
                <w:u w:val="none"/>
              </w:rPr>
              <w:t xml:space="preserve">   </w:t>
            </w:r>
            <w:r>
              <w:rPr>
                <w:b/>
                <w:bCs/>
                <w:color w:val="00274C"/>
                <w:position w:val="-2"/>
                <w:sz w:val="20"/>
                <w:szCs w:val="20"/>
                <w:u w:val="none"/>
              </w:rPr>
              <w:t xml:space="preserve">Arctic Formula</w:t>
            </w:r>
            <w:r>
              <w:rPr>
                <w:color w:val="00274C"/>
                <w:position w:val="-2"/>
                <w:sz w:val="20"/>
                <w:szCs w:val="20"/>
                <w:u w:val="none"/>
              </w:rPr>
              <w:t xml:space="preserve">  est une formule hivernale  </w:t>
            </w:r>
            <w:r>
              <w:rPr>
                <w:b/>
                <w:bCs/>
                <w:color w:val="00274C"/>
                <w:position w:val="-2"/>
                <w:sz w:val="20"/>
                <w:szCs w:val="20"/>
                <w:u w:val="none"/>
              </w:rPr>
              <w:t xml:space="preserve">Extra Performance Fuel Additive</w:t>
            </w:r>
            <w:r>
              <w:rPr>
                <w:color w:val="00274C"/>
                <w:position w:val="-2"/>
                <w:sz w:val="20"/>
                <w:szCs w:val="20"/>
                <w:u w:val="none"/>
              </w:rPr>
              <w:t xml:space="preserve">  qui nettoie et prévient les dépôts dans les injecteurs. Contactez votre concessionnaire Rehlko pour connaître sa disponibilité.</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(Amérique du Nord seulement)</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r>
                    <w:rPr>
                      <w:position w:val="-620"/>
                    </w:rPr>
                    <w:drawing>
                      <wp:inline distT="0" distB="0" distL="0" distR="0">
                        <wp:extent cx="1591200" cy="3924000"/>
                        <wp:effectExtent b="0" l="0" r="0" t="0"/>
                        <wp:docPr id="55660607" name="name555369eb470c6995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80569eb470c69958"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Utilisez l'additif pour carburant diesel Rehlko Injector Cleaner avant de faire le plein une fois par an ou toutes les 500 heures, que ce soit avec du carburant été ou hiver. Sa formule nettoie les dépôts sur les injecteurs et lubrifie la pompe haute pression et les injecteurs afin de réduire l'usure et d'améliorer la qualité du carburant. Compatible avec tous les systèmes d'échappement, y compris les filtres à particules diesel (FAP). Suivez scrupuleusement les instructions figurant sur l'étiquette du produit.</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(Amérique du Nord seulement)</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732"/>
                    </w:rPr>
                    <w:drawing>
                      <wp:inline distT="0" distB="0" distL="0" distR="0">
                        <wp:extent cx="1864800" cy="4622400"/>
                        <wp:effectExtent b="0" l="0" r="0" t="0"/>
                        <wp:docPr id="39458730" name="name234669eb470c6da36"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89669eb470c6da34"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Utilisez l'additif pour carburant Rehlko Extra Performance Arctic Formula, contenant un agent antigel, pour traiter le carburant non hivernal (n° 2-D en Amérique du Nord) par temps froid. Ceci permet une utilisation prolongée jusqu'à environ 10 °C (18 °F) en dessous du point de cristallisation de la paraffine. Pour une utilisation par températures encore plus basses, utilisez du carburant hivernal. Traitez le carburant lorsque la température extérieure descend en dessous de 0 °C (32 °F). Pour des résultats optimaux, utilisez du carburant non traité et suivez scrupuleusement les instructions figurant sur l'étiquette du produit.</w:t>
                  </w:r>
                </w:p>
                <w:p/>
                <w:p/>
                <w:p>
                  <w:pPr>
                    <w:widowControl w:val="on"/>
                    <w:pBdr/>
                    <w:spacing w:before="0" w:after="0" w:line="262" w:lineRule="auto"/>
                    <w:ind w:left="0" w:right="0"/>
                    <w:jc w:val="left"/>
                    <w:textAlignment w:val="center"/>
                  </w:pPr>
                  <w:r>
                    <w:rPr>
                      <w:color w:val="00274C"/>
                      <w:position w:val="-2"/>
                      <w:sz w:val="20"/>
                      <w:szCs w:val="20"/>
                      <w:u w:val="none"/>
                    </w:rPr>
                    <w:t xml:space="preserve">Le point de cristallisation de la paraffine est la température à laquelle la paraffine commence à se déposer dans le carburant, provoquant l'encrassement des filtres.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ne sont autorisés que pour le carburant stocké dans des réservoirs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obtenir des suggestions de produits, veuillez contacter le personnel de Rehlko.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 :</w:t>
                  </w:r>
                  <w:r>
                    <w:rPr>
                      <w:color w:val="00274C"/>
                      <w:position w:val="-2"/>
                      <w:sz w:val="20"/>
                      <w:szCs w:val="20"/>
                      <w:u w:val="none"/>
                    </w:rPr>
                    <w:t xml:space="preserve">  Ces additifs doivent être dilués en pourcentage conformément à la prescription du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Il est préférable d'utiliser le liquide de refroidissement prémélangé Rehlko Xtended™ contenant 50 % d'éthylène glycol OAT.</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9452200" name="name596169eb470c75dae"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21169eb470c75dac"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Il est également recommandé d'utiliser des fluides frigorigènes conformes aux spécifications suivantes. </w:t>
            </w:r>
          </w:p>
          <w:p/>
          <w:p/>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3841956" name="name945969eb470c7cda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38369eb470c7cda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8977"/>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5 ans ou 4000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Tableau de commande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Dans le </w:t>
            </w:r>
            <w:r>
              <w:rPr>
                <w:b/>
                <w:bCs/>
                <w:color w:val="00274C"/>
                <w:position w:val="-2"/>
                <w:sz w:val="20"/>
                <w:szCs w:val="20"/>
                <w:u w:val="none"/>
              </w:rPr>
              <w:t xml:space="preserve">Tab. 2.8</w:t>
            </w:r>
            <w:r>
              <w:rPr>
                <w:color w:val="00274C"/>
                <w:position w:val="-2"/>
                <w:sz w:val="20"/>
                <w:szCs w:val="20"/>
                <w:u w:val="none"/>
              </w:rPr>
              <w:t xml:space="preserve">  sont indiqués les composants du tableau de commande.
</w:t>
            </w:r>
          </w:p>
          <w:p>
            <w:pPr>
              <w:widowControl w:val="on"/>
              <w:pBdr/>
              <w:spacing w:before="0" w:after="0" w:line="262" w:lineRule="auto"/>
              <w:ind w:left="0" w:right="0"/>
              <w:jc w:val="left"/>
              <w:textAlignment w:val="center"/>
            </w:pPr>
            <w:r>
              <w:rPr>
                <w:b/>
                <w:bCs/>
                <w:color w:val="00274C"/>
                <w:position w:val="-2"/>
                <w:sz w:val="20"/>
                <w:szCs w:val="20"/>
                <w:u w:val="none"/>
              </w:rPr>
              <w:b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Interrupteur d'allumage du tableau et moteur avec clé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Écran pour consultation des données ou des erreurs du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fléché de navigation dans le menu supérieur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fléché de navigation dans le menu inférieur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Bouton de sélection ou saisie des données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d'état de fonctionnement du moteur (verte = aucun problème rencontré)</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9321192" name="name807769eb470c85545"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175469eb470c85543"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si la LED </w:t>
            </w:r>
            <w:r>
              <w:rPr>
                <w:b/>
                <w:bCs/>
                <w:color w:val="00274C"/>
                <w:position w:val="-2"/>
                <w:sz w:val="20"/>
                <w:szCs w:val="20"/>
                <w:u w:val="none"/>
              </w:rPr>
              <w:t xml:space="preserve">F</w:t>
            </w:r>
            <w:r>
              <w:rPr>
                <w:color w:val="00274C"/>
                <w:position w:val="-2"/>
                <w:sz w:val="20"/>
                <w:szCs w:val="20"/>
                <w:u w:val="none"/>
              </w:rPr>
              <w:t xml:space="preserve"> est allumée en rouge, consulter les ateliers autorisés  </w:t>
            </w:r>
            <w:r>
              <w:rPr>
                <w:b/>
                <w:bCs/>
                <w:color w:val="000000"/>
                <w:position w:val="-2"/>
                <w:sz w:val="20"/>
                <w:szCs w:val="20"/>
                <w:u w:val="none"/>
              </w:rPr>
              <w:t xml:space="preserve">REHLKO </w:t>
            </w:r>
            <w:r>
              <w:rPr>
                <w:color w:val="00274C"/>
                <w:position w:val="-2"/>
                <w:sz w:val="20"/>
                <w:szCs w:val="20"/>
                <w:u w:val="none"/>
              </w:rPr>
              <w:t xml:space="preserve"> pour connaître le type de problème. Pour certains problèmes, l'arrêt automatique du moteur se déclenche.</w:t>
            </w:r>
          </w:p>
          <w:p/>
          <w:p/>
          <w:p>
            <w:pPr>
              <w:widowControl w:val="on"/>
              <w:pBdr/>
              <w:spacing w:before="0" w:after="0" w:line="262" w:lineRule="auto"/>
              <w:ind w:left="0" w:right="0"/>
              <w:jc w:val="left"/>
              <w:textAlignment w:val="center"/>
            </w:pPr>
            <w:r>
              <w:rPr>
                <w:color w:val="00274C"/>
                <w:position w:val="-2"/>
                <w:sz w:val="20"/>
                <w:szCs w:val="20"/>
                <w:u w:val="none"/>
              </w:rPr>
              <w:t xml:space="preserve">Le </w:t>
            </w:r>
            <w:r>
              <w:rPr>
                <w:b/>
                <w:bCs/>
                <w:color w:val="00274C"/>
                <w:position w:val="-2"/>
                <w:sz w:val="20"/>
                <w:szCs w:val="20"/>
                <w:u w:val="none"/>
              </w:rPr>
              <w:t xml:space="preserve">Tab. 2.9</w:t>
            </w:r>
            <w:r>
              <w:rPr>
                <w:color w:val="00274C"/>
                <w:position w:val="-2"/>
                <w:sz w:val="20"/>
                <w:szCs w:val="20"/>
                <w:u w:val="none"/>
              </w:rPr>
              <w:t xml:space="preserve">  indique les données qu'il est possible de consulter à l'écran </w:t>
            </w:r>
            <w:r>
              <w:rPr>
                <w:b/>
                <w:bCs/>
                <w:color w:val="00274C"/>
                <w:position w:val="-2"/>
                <w:sz w:val="20"/>
                <w:szCs w:val="20"/>
                <w:u w:val="none"/>
              </w:rPr>
              <w:t xml:space="preserve">B</w:t>
            </w:r>
            <w:r>
              <w:rPr>
                <w:color w:val="00274C"/>
                <w:position w:val="-2"/>
                <w:sz w:val="20"/>
                <w:szCs w:val="20"/>
                <w:u w:val="none"/>
              </w:rPr>
              <w:t xml:space="preserve"> en appuyant sur les boutons </w:t>
            </w:r>
            <w:r>
              <w:rPr>
                <w:b/>
                <w:bCs/>
                <w:color w:val="00274C"/>
                <w:position w:val="-2"/>
                <w:sz w:val="20"/>
                <w:szCs w:val="20"/>
                <w:u w:val="none"/>
              </w:rPr>
              <w:t xml:space="preserve">C</w:t>
            </w:r>
            <w:r>
              <w:rPr>
                <w:color w:val="00274C"/>
                <w:position w:val="-2"/>
                <w:sz w:val="20"/>
                <w:szCs w:val="20"/>
                <w:u w:val="none"/>
              </w:rPr>
              <w:t xml:space="preserve"> ou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les données décrites dans le </w:t>
            </w:r>
            <w:r>
              <w:rPr>
                <w:b/>
                <w:bCs/>
                <w:color w:val="00274C"/>
                <w:position w:val="-2"/>
                <w:sz w:val="20"/>
                <w:szCs w:val="20"/>
                <w:u w:val="none"/>
              </w:rPr>
              <w:t xml:space="preserve">Tab. 2.9</w:t>
            </w:r>
            <w:r>
              <w:rPr>
                <w:color w:val="00274C"/>
                <w:position w:val="-2"/>
                <w:sz w:val="20"/>
                <w:szCs w:val="20"/>
                <w:u w:val="none"/>
              </w:rPr>
              <w:t xml:space="preserve">  peuvent être différentes; dans ce cas, consulter le manuel de la machine.</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de fonctionnement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Heures restantes jusqu'à l'entretien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Tours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 huile moteur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Température du réfrigérant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Couple utilisé @ rpm (% d'utilisation)</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8978">
    <w:multiLevelType w:val="hybridMultilevel"/>
    <w:lvl w:ilvl="0" w:tplc="49702204">
      <w:start w:val="1"/>
      <w:numFmt w:val="decimal"/>
      <w:lvlText w:val="%1."/>
      <w:lvlJc w:val="left"/>
      <w:pPr>
        <w:ind w:left="720" w:hanging="360"/>
      </w:pPr>
    </w:lvl>
    <w:lvl w:ilvl="1" w:tplc="49702204" w:tentative="1">
      <w:start w:val="1"/>
      <w:numFmt w:val="lowerLetter"/>
      <w:lvlText w:val="%2."/>
      <w:lvlJc w:val="left"/>
      <w:pPr>
        <w:ind w:left="1440" w:hanging="360"/>
      </w:pPr>
    </w:lvl>
    <w:lvl w:ilvl="2" w:tplc="49702204" w:tentative="1">
      <w:start w:val="1"/>
      <w:numFmt w:val="lowerRoman"/>
      <w:lvlText w:val="%3."/>
      <w:lvlJc w:val="right"/>
      <w:pPr>
        <w:ind w:left="2160" w:hanging="180"/>
      </w:pPr>
    </w:lvl>
    <w:lvl w:ilvl="3" w:tplc="49702204" w:tentative="1">
      <w:start w:val="1"/>
      <w:numFmt w:val="decimal"/>
      <w:lvlText w:val="%4."/>
      <w:lvlJc w:val="left"/>
      <w:pPr>
        <w:ind w:left="2880" w:hanging="360"/>
      </w:pPr>
    </w:lvl>
    <w:lvl w:ilvl="4" w:tplc="49702204" w:tentative="1">
      <w:start w:val="1"/>
      <w:numFmt w:val="lowerLetter"/>
      <w:lvlText w:val="%5."/>
      <w:lvlJc w:val="left"/>
      <w:pPr>
        <w:ind w:left="3600" w:hanging="360"/>
      </w:pPr>
    </w:lvl>
    <w:lvl w:ilvl="5" w:tplc="49702204" w:tentative="1">
      <w:start w:val="1"/>
      <w:numFmt w:val="lowerRoman"/>
      <w:lvlText w:val="%6."/>
      <w:lvlJc w:val="right"/>
      <w:pPr>
        <w:ind w:left="4320" w:hanging="180"/>
      </w:pPr>
    </w:lvl>
    <w:lvl w:ilvl="6" w:tplc="49702204" w:tentative="1">
      <w:start w:val="1"/>
      <w:numFmt w:val="decimal"/>
      <w:lvlText w:val="%7."/>
      <w:lvlJc w:val="left"/>
      <w:pPr>
        <w:ind w:left="5040" w:hanging="360"/>
      </w:pPr>
    </w:lvl>
    <w:lvl w:ilvl="7" w:tplc="49702204" w:tentative="1">
      <w:start w:val="1"/>
      <w:numFmt w:val="lowerLetter"/>
      <w:lvlText w:val="%8."/>
      <w:lvlJc w:val="left"/>
      <w:pPr>
        <w:ind w:left="5760" w:hanging="360"/>
      </w:pPr>
    </w:lvl>
    <w:lvl w:ilvl="8" w:tplc="49702204" w:tentative="1">
      <w:start w:val="1"/>
      <w:numFmt w:val="lowerRoman"/>
      <w:lvlText w:val="%9."/>
      <w:lvlJc w:val="right"/>
      <w:pPr>
        <w:ind w:left="6480" w:hanging="180"/>
      </w:pPr>
    </w:lvl>
  </w:abstractNum>
  <w:abstractNum w:abstractNumId="8977">
    <w:multiLevelType w:val="hybridMultilevel"/>
    <w:lvl w:ilvl="0" w:tplc="197072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977">
    <w:abstractNumId w:val="8977"/>
  </w:num>
  <w:num w:numId="8978">
    <w:abstractNumId w:val="89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80731810" Type="http://schemas.openxmlformats.org/officeDocument/2006/relationships/comments" Target="comments.xml"/><Relationship Id="rId754403330" Type="http://schemas.microsoft.com/office/2011/relationships/commentsExtended" Target="commentsExtended.xml"/><Relationship Id="rId77104230" Type="http://schemas.openxmlformats.org/officeDocument/2006/relationships/image" Target="media/imgrId77104230.jpg"/><Relationship Id="rId584869eb470c2a223" Type="http://schemas.openxmlformats.org/officeDocument/2006/relationships/image" Target="media/imgrId584869eb470c2a223.jpg"/><Relationship Id="rId937169eb470c37d5b" Type="http://schemas.openxmlformats.org/officeDocument/2006/relationships/image" Target="media/imgrId937169eb470c37d5b.jpg"/><Relationship Id="rId768169eb470c3aa92" Type="http://schemas.openxmlformats.org/officeDocument/2006/relationships/image" Target="media/imgrId768169eb470c3aa92.jpg"/><Relationship Id="rId960169eb470c3fed2" Type="http://schemas.openxmlformats.org/officeDocument/2006/relationships/image" Target="media/imgrId960169eb470c3fed2.jpg"/><Relationship Id="rId224869eb470c4751f" Type="http://schemas.openxmlformats.org/officeDocument/2006/relationships/image" Target="media/imgrId224869eb470c4751f.jpg"/><Relationship Id="rId503169eb470c4edf8" Type="http://schemas.openxmlformats.org/officeDocument/2006/relationships/image" Target="media/imgrId503169eb470c4edf8.jpg"/><Relationship Id="rId940969eb470c539f9" Type="http://schemas.openxmlformats.org/officeDocument/2006/relationships/image" Target="media/imgrId940969eb470c539f9.jpg"/><Relationship Id="rId450969eb470c5b45a" Type="http://schemas.openxmlformats.org/officeDocument/2006/relationships/image" Target="media/imgrId450969eb470c5b45a.png"/><Relationship Id="rId234569eb470c6337e" Type="http://schemas.openxmlformats.org/officeDocument/2006/relationships/image" Target="media/imgrId234569eb470c6337e.png"/><Relationship Id="rId680569eb470c69958" Type="http://schemas.openxmlformats.org/officeDocument/2006/relationships/image" Target="media/imgrId680569eb470c69958.jpg"/><Relationship Id="rId789669eb470c6da34" Type="http://schemas.openxmlformats.org/officeDocument/2006/relationships/image" Target="media/imgrId789669eb470c6da34.jpg"/><Relationship Id="rId221169eb470c75dac" Type="http://schemas.openxmlformats.org/officeDocument/2006/relationships/image" Target="media/imgrId221169eb470c75dac.jpg"/><Relationship Id="rId738369eb470c7cdab" Type="http://schemas.openxmlformats.org/officeDocument/2006/relationships/image" Target="media/imgrId738369eb470c7cdab.png"/><Relationship Id="rId175469eb470c85543" Type="http://schemas.openxmlformats.org/officeDocument/2006/relationships/image" Target="media/imgrId175469eb470c8554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7104230" Type="http://schemas.openxmlformats.org/officeDocument/2006/relationships/image" Target="media/imgrId7710423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7104230" Type="http://schemas.openxmlformats.org/officeDocument/2006/relationships/image" Target="media/imgrId7710423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7104230" Type="http://schemas.openxmlformats.org/officeDocument/2006/relationships/image" Target="media/imgrId7710423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7104230" Type="http://schemas.openxmlformats.org/officeDocument/2006/relationships/image" Target="media/imgrId7710423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7104230" Type="http://schemas.openxmlformats.org/officeDocument/2006/relationships/image" Target="media/imgrId7710423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7104230" Type="http://schemas.openxmlformats.org/officeDocument/2006/relationships/image" Target="media/imgrId771042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