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60787647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2119087"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4114885" w:name="ctxt"/>
    <w:bookmarkEnd w:id="64114885"/>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Safety information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3603"/>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3603"/>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0000"/>
                <w:position w:val="-2"/>
                <w:sz w:val="20"/>
                <w:szCs w:val="20"/>
                <w:u w:val="none"/>
              </w:rPr>
              <w:t xml:space="preserve">REHLKO</w:t>
            </w:r>
            <w:r>
              <w:rPr>
                <w:color w:val="00274C"/>
                <w:position w:val="-2"/>
                <w:sz w:val="20"/>
                <w:szCs w:val="20"/>
                <w:u w:val="none"/>
              </w:rPr>
              <w:t xml:space="preserve"> .</w:t>
            </w:r>
          </w:p>
          <w:p>
            <w:pPr>
              <w:numPr>
                <w:ilvl w:val="0"/>
                <w:numId w:val="3603"/>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declines all responsibility for any change to the engine not described in this manual made by unauthorized  </w:t>
            </w:r>
            <w:r>
              <w:rPr>
                <w:b/>
                <w:bCs/>
                <w:color w:val="000000"/>
                <w:position w:val="-2"/>
                <w:sz w:val="20"/>
                <w:szCs w:val="20"/>
                <w:u w:val="none"/>
              </w:rPr>
              <w:t xml:space="preserve">REHLKO </w:t>
            </w:r>
            <w:r>
              <w:rPr>
                <w:color w:val="00274C"/>
                <w:position w:val="-2"/>
                <w:sz w:val="20"/>
                <w:szCs w:val="20"/>
                <w:u w:val="none"/>
              </w:rPr>
              <w:t xml:space="preserve"> personnel.</w:t>
            </w:r>
          </w:p>
          <w:p>
            <w:pPr>
              <w:numPr>
                <w:ilvl w:val="0"/>
                <w:numId w:val="3603"/>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3603"/>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w:t>
            </w:r>
          </w:p>
          <w:p>
            <w:pPr>
              <w:numPr>
                <w:ilvl w:val="0"/>
                <w:numId w:val="3603"/>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declines all direct and indirect liability for failure to comply with the standards of conduct contained in this manual.</w:t>
            </w:r>
          </w:p>
          <w:p>
            <w:pPr>
              <w:numPr>
                <w:ilvl w:val="0"/>
                <w:numId w:val="3603"/>
              </w:numPr>
              <w:spacing w:before="0" w:after="0" w:line="262" w:lineRule="auto"/>
              <w:jc w:val="left"/>
              <w:rPr>
                <w:color w:val="00274C"/>
                <w:sz w:val="20"/>
                <w:szCs w:val="20"/>
              </w:rPr>
            </w:pPr>
            <w:r>
              <w:rPr>
                <w:b/>
                <w:bCs/>
                <w:color w:val="000000"/>
                <w:position w:val="-2"/>
                <w:sz w:val="20"/>
                <w:szCs w:val="20"/>
                <w:u w:val="none"/>
              </w:rPr>
              <w:t xml:space="preserve">REHLKO</w:t>
            </w:r>
            <w:r>
              <w:rPr>
                <w:color w:val="00274C"/>
                <w:position w:val="-2"/>
                <w:sz w:val="20"/>
                <w:szCs w:val="20"/>
                <w:u w:val="none"/>
              </w:rPr>
              <w:t xml:space="preserve">  is not responsible for any unreasonable use or neglect that may cause a potential danger.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3.2.1 Note for OEM</w:t>
      </w:r>
    </w:p>
    <w:p>
      <w:pPr>
        <w:numPr>
          <w:ilvl w:val="0"/>
          <w:numId w:val="3603"/>
        </w:numPr>
        <w:spacing w:before="0" w:after="0" w:line="240" w:lineRule="auto"/>
        <w:jc w:val="left"/>
        <w:rPr>
          <w:color w:val="00274C"/>
          <w:sz w:val="20"/>
          <w:szCs w:val="20"/>
        </w:rPr>
      </w:pPr>
      <w:r>
        <w:rPr>
          <w:color w:val="00274C"/>
          <w:sz w:val="20"/>
          <w:szCs w:val="20"/>
          <w:u w:val="none"/>
        </w:rPr>
        <w:t xml:space="preserve">When installing the KDI engines, always bear in mind that any variation to the functional systems may result in serious failures to the engine.</w:t>
      </w:r>
    </w:p>
    <w:p>
      <w:pPr>
        <w:numPr>
          <w:ilvl w:val="0"/>
          <w:numId w:val="3603"/>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3603"/>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274C"/>
          <w:sz w:val="20"/>
          <w:szCs w:val="20"/>
          <w:u w:val="none"/>
        </w:rPr>
        <w:t xml:space="preserve">KOHLER</w:t>
      </w:r>
      <w:r>
        <w:rPr>
          <w:color w:val="00274C"/>
          <w:sz w:val="20"/>
          <w:szCs w:val="20"/>
          <w:u w:val="none"/>
        </w:rPr>
        <w:t xml:space="preserve"> shall not be deemed responsible for any consequential failures or damages to the engine.</w:t>
      </w:r>
    </w:p>
    <w:p>
      <w:pPr>
        <w:numPr>
          <w:ilvl w:val="0"/>
          <w:numId w:val="3603"/>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w:t>
      </w:r>
    </w:p>
    <w:p>
      <w:pPr>
        <w:numPr>
          <w:ilvl w:val="0"/>
          <w:numId w:val="3603"/>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direct and indirect liability for failure to comply with the standards of conduct contained in this manual.</w:t>
      </w:r>
    </w:p>
    <w:p>
      <w:pPr>
        <w:numPr>
          <w:ilvl w:val="0"/>
          <w:numId w:val="3603"/>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cannot consider every reasonably unforeseeable misuse that may cause a potential danger.</w:t>
      </w:r>
    </w:p>
    <w:p>
      <w:pPr>
        <w:widowControl w:val="on"/>
        <w:pBdr/>
        <w:spacing w:before="0" w:after="0" w:line="262" w:lineRule="auto"/>
        <w:ind w:left="0" w:right="0"/>
        <w:jc w:val="left"/>
      </w:pPr>
      <w:r>
        <w:rPr>
          <w:b/>
          <w:bCs/>
          <w:color w:val="00274C"/>
          <w:sz w:val="20"/>
          <w:szCs w:val="20"/>
          <w:u w:val="none"/>
        </w:rPr>
        <w:br/>
        <w:t xml:space="preserve">3.2.2</w:t>
      </w:r>
      <w:r>
        <w:rPr>
          <w:color w:val="00274C"/>
          <w:sz w:val="20"/>
          <w:szCs w:val="20"/>
          <w:u w:val="none"/>
        </w:rPr>
        <w:t xml:space="preserve"> </w:t>
      </w:r>
      <w:r>
        <w:rPr>
          <w:b/>
          <w:bCs/>
          <w:color w:val="00274C"/>
          <w:sz w:val="20"/>
          <w:szCs w:val="20"/>
          <w:u w:val="none"/>
        </w:rPr>
        <w:t xml:space="preserve">Note for end user</w:t>
      </w:r>
    </w:p>
    <w:p>
      <w:pPr>
        <w:numPr>
          <w:ilvl w:val="0"/>
          <w:numId w:val="3603"/>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3603"/>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3603"/>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3603"/>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3603"/>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3603"/>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3603"/>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3603"/>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3603"/>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3603"/>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3603"/>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3603"/>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3603"/>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3603"/>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3603"/>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3603"/>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3603"/>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3603"/>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3603"/>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3603"/>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3603"/>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3603"/>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3603"/>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3603"/>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w:t>
      </w:r>
    </w:p>
    <w:p>
      <w:pPr>
        <w:numPr>
          <w:ilvl w:val="0"/>
          <w:numId w:val="3603"/>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3603"/>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3603"/>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786932" name="name613869f378bbaece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13469f378bbaece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3603"/>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w:t>
      </w:r>
      <w:r>
        <w:rPr>
          <w:b/>
          <w:bCs/>
          <w:color w:val="00274C"/>
          <w:sz w:val="20"/>
          <w:szCs w:val="20"/>
          <w:u w:val="none"/>
        </w:rPr>
        <w:t xml:space="preserve">(Fig. 3.1)</w:t>
      </w:r>
      <w:r>
        <w:rPr>
          <w:color w:val="00274C"/>
          <w:sz w:val="20"/>
          <w:szCs w:val="20"/>
          <w:u w:val="none"/>
        </w:rPr>
        <w:t xml:space="preserve"> .</w:t>
      </w:r>
    </w:p>
    <w:p>
      <w:pPr>
        <w:numPr>
          <w:ilvl w:val="0"/>
          <w:numId w:val="3603"/>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3603"/>
        </w:numPr>
        <w:spacing w:before="0" w:after="0" w:line="240" w:lineRule="auto"/>
        <w:jc w:val="left"/>
        <w:rPr>
          <w:color w:val="00274C"/>
          <w:sz w:val="20"/>
          <w:szCs w:val="20"/>
        </w:rPr>
      </w:pPr>
      <w:r>
        <w:rPr>
          <w:color w:val="00274C"/>
          <w:sz w:val="20"/>
          <w:szCs w:val="20"/>
          <w:u w:val="none"/>
        </w:rPr>
        <w:t xml:space="preserve">The correct tightening of the lifting screws is 80Nm.</w:t>
      </w:r>
    </w:p>
    <w:p>
      <w:pPr>
        <w:numPr>
          <w:ilvl w:val="0"/>
          <w:numId w:val="3603"/>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3603"/>
        </w:numPr>
        <w:spacing w:before="0" w:after="0" w:line="240" w:lineRule="auto"/>
        <w:jc w:val="left"/>
        <w:rPr>
          <w:color w:val="00274C"/>
          <w:sz w:val="20"/>
          <w:szCs w:val="20"/>
        </w:rPr>
      </w:pPr>
      <w:r>
        <w:rPr>
          <w:color w:val="00274C"/>
          <w:sz w:val="20"/>
          <w:szCs w:val="20"/>
          <w:u w:val="none"/>
        </w:rPr>
        <w:t xml:space="preserve">Provided that the above requirements are met, if the lifting eyebolts are subject to permanent deformation (inwards), all subsequent lifting operations must be performed in order to prevent them from bending in the opposite direction.</w:t>
      </w:r>
    </w:p>
    <w:p>
      <w:pPr>
        <w:numPr>
          <w:ilvl w:val="0"/>
          <w:numId w:val="3603"/>
        </w:numPr>
        <w:spacing w:before="0" w:after="0" w:line="240" w:lineRule="auto"/>
        <w:jc w:val="left"/>
        <w:rPr>
          <w:color w:val="00274C"/>
          <w:sz w:val="20"/>
          <w:szCs w:val="20"/>
        </w:rPr>
      </w:pPr>
      <w:r>
        <w:rPr>
          <w:color w:val="00274C"/>
          <w:sz w:val="20"/>
          <w:szCs w:val="20"/>
          <w:u w:val="none"/>
        </w:rPr>
        <w:t xml:space="preserve">Engines equipped with an ATS device require regeneration to be inhibited if the engine is used in environments at risk of fire (e.g. forest areas, areas with flammable materials, areas with flammable gases or liquids and any type of combustible material - if the function is available).</w:t>
      </w:r>
    </w:p>
    <w:p>
      <w:pPr>
        <w:widowControl w:val="on"/>
        <w:pBdr/>
        <w:spacing w:before="225" w:after="225" w:line="262" w:lineRule="auto"/>
        <w:ind w:left="0" w:right="0"/>
        <w:jc w:val="left"/>
      </w:pPr>
      <w:r>
        <w:drawing>
          <wp:inline distT="0" distB="0" distL="0" distR="0">
            <wp:extent cx="4752000" cy="3067200"/>
            <wp:effectExtent b="0" l="0" r="0" t="0"/>
            <wp:docPr id="5927071" name="name149369f378bbe0338" descr="Sollevam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levamento.jpg"/>
                    <pic:cNvPicPr/>
                  </pic:nvPicPr>
                  <pic:blipFill>
                    <a:blip r:embed="rId285469f378bbe0335" cstate="print"/>
                    <a:stretch>
                      <a:fillRect/>
                    </a:stretch>
                  </pic:blipFill>
                  <pic:spPr>
                    <a:xfrm>
                      <a:off x="0" y="0"/>
                      <a:ext cx="4752000" cy="30672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3603"/>
              </w:numPr>
              <w:spacing w:before="0" w:after="0" w:line="262" w:lineRule="auto"/>
              <w:jc w:val="left"/>
              <w:rPr>
                <w:color w:val="00274C"/>
                <w:sz w:val="20"/>
                <w:szCs w:val="20"/>
              </w:rPr>
            </w:pPr>
            <w:r>
              <w:rPr>
                <w:color w:val="00274C"/>
                <w:position w:val="-2"/>
                <w:sz w:val="20"/>
                <w:szCs w:val="20"/>
                <w:u w:val="none"/>
              </w:rPr>
              <w:t xml:space="preserve">To ensure safe operation please read the following statements and understand their meaning.</w:t>
            </w:r>
          </w:p>
          <w:p>
            <w:pPr>
              <w:numPr>
                <w:ilvl w:val="0"/>
                <w:numId w:val="3603"/>
              </w:numPr>
              <w:spacing w:before="0" w:after="0" w:line="262" w:lineRule="auto"/>
              <w:jc w:val="left"/>
              <w:rPr>
                <w:color w:val="00274C"/>
                <w:sz w:val="20"/>
                <w:szCs w:val="20"/>
              </w:rPr>
            </w:pPr>
            <w:r>
              <w:rPr>
                <w:color w:val="00274C"/>
                <w:position w:val="-2"/>
                <w:sz w:val="20"/>
                <w:szCs w:val="20"/>
                <w:u w:val="none"/>
              </w:rPr>
              <w:t xml:space="preserve">Also refer to your equipment manufacturer's manual for other important safety information.</w:t>
            </w:r>
          </w:p>
          <w:p>
            <w:pPr>
              <w:numPr>
                <w:ilvl w:val="0"/>
                <w:numId w:val="3603"/>
              </w:numPr>
              <w:spacing w:before="0" w:after="0" w:line="262" w:lineRule="auto"/>
              <w:jc w:val="left"/>
              <w:rPr>
                <w:color w:val="00274C"/>
                <w:sz w:val="20"/>
                <w:szCs w:val="20"/>
              </w:rPr>
            </w:pPr>
            <w:r>
              <w:rPr>
                <w:color w:val="00274C"/>
                <w:position w:val="-2"/>
                <w:sz w:val="20"/>
                <w:szCs w:val="20"/>
                <w:u w:val="none"/>
              </w:rPr>
              <w:t xml:space="preserve">This manual contains safety precautions which are explained below.</w:t>
            </w:r>
          </w:p>
          <w:p>
            <w:pPr>
              <w:numPr>
                <w:ilvl w:val="0"/>
                <w:numId w:val="3603"/>
              </w:numPr>
              <w:spacing w:before="0" w:after="0" w:line="262" w:lineRule="auto"/>
              <w:jc w:val="left"/>
              <w:rPr>
                <w:color w:val="00274C"/>
                <w:sz w:val="20"/>
                <w:szCs w:val="20"/>
              </w:rPr>
            </w:pPr>
            <w:r>
              <w:rPr>
                <w:color w:val="00274C"/>
                <w:position w:val="-2"/>
                <w:sz w:val="20"/>
                <w:szCs w:val="20"/>
                <w:u w:val="none"/>
              </w:rPr>
              <w:t xml:space="preserve">Please read them carefully.</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stickers are applied on components engine by the machine manufacturer and some of them may be made of metal to resist at high temperatures.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39622948" name="name944669f378bc4a6ef"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952569f378bc4a6eb"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98784049" name="name520669f378bc522c8"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501669f378bc522c5"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84455297" name="name930269f378bc5921c"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440169f378bc5921a"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164237" name="name900869f378bc60bf7"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749069f378bc60bf5"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46221197" name="name184269f378bc683b0"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505769f378bc683ad"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59226491" name="name592269f378bc6f93f"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352169f378bc6f93d"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37447556" name="name149369f378bc72f6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66369f378bc72f5e"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53914713" name="name829469f378bc76f5a"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68669f378bc76f58"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99897179" name="name377469f378bc7ba7f"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487869f378bc7ba7d"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97353206" name="name153969f378bc8315d"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850769f378bc8315b"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55488417" name="name435469f378bc8ab28"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810269f378bc8ab26"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8675944" name="name476869f378bc90948"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36369f378bc9094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9322085" name="name889669f378bc96364"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577969f378bc96362"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94374728" name="name512069f378bc9d49e"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905169f378bc9d49c"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51604497" name="name224369f378bca1437"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307169f378bca1435"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5603055" name="name360469f378bca7624"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62769f378bca7622"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3608111" name="name629069f378bcac5fb"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147569f378bcac5f9"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6365018" name="name538469f378bcaef97"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82169f378bcaef95"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5728869" name="name258069f378bcb453c"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490269f378bcb4539"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w:t>
                  </w:r>
                  <w:r>
                    <w:rPr>
                      <w:color w:val="00274C"/>
                      <w:position w:val="-2"/>
                      <w:sz w:val="20"/>
                      <w:szCs w:val="20"/>
                      <w:u w:val="none"/>
                    </w:rPr>
                    <w:br/>
                    <w:t xml:space="preserve">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2252802" name="name370869f378bcba679"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20169f378bcba67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53976101" name="name183969f378bcc03a1"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426769f378bcc039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6855149" name="name875069f378bcc5cf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49369f378bcc5cf1"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5045304" name="name572669f378bccaf18"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200969f378bccaf1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0496266" name="name219469f378bccd860"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48669f378bccd85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5317845" name="name824369f378bcd2b96"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401069f378bcd2b94"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work on fuel system without proper training or safety equipment. Fluid puncture injuries are highly toxic and hazardous.</w:t>
                  </w:r>
                </w:p>
                <w:p>
                  <w:pPr>
                    <w:widowControl w:val="on"/>
                    <w:pBdr/>
                    <w:spacing w:before="0" w:after="0" w:line="262" w:lineRule="auto"/>
                    <w:ind w:left="0" w:right="0"/>
                    <w:jc w:val="left"/>
                    <w:textAlignment w:val="center"/>
                  </w:pPr>
                  <w:r>
                    <w:rPr>
                      <w:b/>
                      <w:bCs/>
                      <w:color w:val="00274C"/>
                      <w:position w:val="-2"/>
                      <w:sz w:val="20"/>
                      <w:szCs w:val="20"/>
                      <w:u w:val="none"/>
                    </w:rP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5187825" name="name304769f378bcd5567"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18769f378bcd5565"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9945009" name="name693269f378bcdb649"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963969f378bcdb647"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is flammable and its vapours can ignite. Store fuel only in approved containers, in well ventilated, unoccupied buildings. Do not fill the fuel tank while the engine is hot or running, since spilled fuel could ignite if it comes in contact with hot parts or sparks from ignition.</w:t>
                  </w:r>
                  <w:r>
                    <w:rPr>
                      <w:color w:val="00274C"/>
                      <w:position w:val="-2"/>
                      <w:sz w:val="20"/>
                      <w:szCs w:val="20"/>
                      <w:u w:val="none"/>
                    </w:rPr>
                    <w:br/>
                    <w:br/>
                    <w:t xml:space="preserve">Do not start the engine near spilled fuel.</w:t>
                  </w:r>
                  <w:r>
                    <w:rPr>
                      <w:color w:val="00274C"/>
                      <w:position w:val="-2"/>
                      <w:sz w:val="20"/>
                      <w:szCs w:val="20"/>
                      <w:u w:val="none"/>
                    </w:rPr>
                    <w:br/>
                    <w:br/>
                    <w:t xml:space="preserve">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7011181" name="name345469f378bce0bf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54469f378bce0bf1"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7542446" name="name761369f378bce4b30"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434969f378bce4b2e"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r>
                    <w:rPr>
                      <w:color w:val="00274C"/>
                      <w:position w:val="-2"/>
                      <w:sz w:val="20"/>
                      <w:szCs w:val="20"/>
                      <w:u w:val="none"/>
                    </w:rPr>
                    <w:br/>
                    <w:br/>
                    <w:t xml:space="preserve">Keep batteries out of the reach of children.</w:t>
                  </w:r>
                  <w:r>
                    <w:rPr>
                      <w:color w:val="00274C"/>
                      <w:position w:val="-2"/>
                      <w:sz w:val="20"/>
                      <w:szCs w:val="20"/>
                      <w:u w:val="none"/>
                    </w:rPr>
                    <w:br/>
                    <w:br/>
                    <w:t xml:space="preserve">Remove all jewelry when servicing batteries. Before disconnecting the negative (-) ground cable, make sure all switches are OFF.</w:t>
                  </w:r>
                  <w:r>
                    <w:rPr>
                      <w:color w:val="00274C"/>
                      <w:position w:val="-2"/>
                      <w:sz w:val="20"/>
                      <w:szCs w:val="20"/>
                      <w:u w:val="none"/>
                    </w:rPr>
                    <w:br/>
                    <w:br/>
                    <w:t xml:space="preserve">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8141479" name="name438969f378bce8417"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49669f378bce8415"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Liquid waste.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Waste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Soil contamination.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Atmospheric emission.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Use of raw materials and natural resources.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Regulations and directives regarding environmental impact.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order to minimise the impact on the environment,  </w:t>
            </w:r>
            <w:r>
              <w:rPr>
                <w:b/>
                <w:bCs/>
                <w:color w:val="000000"/>
                <w:position w:val="-2"/>
                <w:sz w:val="20"/>
                <w:szCs w:val="20"/>
                <w:u w:val="none"/>
              </w:rPr>
              <w:t xml:space="preserve">REHLKO </w:t>
            </w:r>
            <w:r>
              <w:rPr>
                <w:color w:val="00274C"/>
                <w:position w:val="-2"/>
                <w:sz w:val="20"/>
                <w:szCs w:val="20"/>
                <w:u w:val="none"/>
              </w:rPr>
              <w:t xml:space="preserve"> now provides a number of indications to be followed by all persons handling the engine, for any reason, during its expected lifetime. - All components and fluids must be disposed of in accordance with the laws of the country in which disposal is taking place.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Keep the fuel and engine control systems and the exhaust pipes in efficient working order to limit environmental and noise pollution.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When discontinuing use of the engine, select all components according to their chemical characteristics and dispose of them separately.</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labels on engine</w:t>
      </w:r>
    </w:p>
    <w:p>
      <w:pPr>
        <w:widowControl w:val="on"/>
        <w:pBdr/>
        <w:spacing w:before="225" w:after="225" w:line="262" w:lineRule="auto"/>
        <w:ind w:left="0" w:right="0"/>
        <w:jc w:val="left"/>
      </w:pPr>
      <w:r>
        <w:drawing>
          <wp:inline distT="0" distB="0" distL="0" distR="0">
            <wp:extent cx="4233600" cy="5090400"/>
            <wp:effectExtent b="0" l="0" r="0" t="0"/>
            <wp:docPr id="1500387" name="name142469f378bd0009c" descr="Segnali_ubicaz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gnali_ubicazione.jpg"/>
                    <pic:cNvPicPr/>
                  </pic:nvPicPr>
                  <pic:blipFill>
                    <a:blip r:embed="rId287569f378bd0009a" cstate="print"/>
                    <a:stretch>
                      <a:fillRect/>
                    </a:stretch>
                  </pic:blipFill>
                  <pic:spPr>
                    <a:xfrm>
                      <a:off x="0" y="0"/>
                      <a:ext cx="4233600" cy="50904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3604">
    <w:multiLevelType w:val="hybridMultilevel"/>
    <w:lvl w:ilvl="0" w:tplc="11905547">
      <w:start w:val="1"/>
      <w:numFmt w:val="decimal"/>
      <w:lvlText w:val="%1."/>
      <w:lvlJc w:val="left"/>
      <w:pPr>
        <w:ind w:left="720" w:hanging="360"/>
      </w:pPr>
    </w:lvl>
    <w:lvl w:ilvl="1" w:tplc="11905547" w:tentative="1">
      <w:start w:val="1"/>
      <w:numFmt w:val="lowerLetter"/>
      <w:lvlText w:val="%2."/>
      <w:lvlJc w:val="left"/>
      <w:pPr>
        <w:ind w:left="1440" w:hanging="360"/>
      </w:pPr>
    </w:lvl>
    <w:lvl w:ilvl="2" w:tplc="11905547" w:tentative="1">
      <w:start w:val="1"/>
      <w:numFmt w:val="lowerRoman"/>
      <w:lvlText w:val="%3."/>
      <w:lvlJc w:val="right"/>
      <w:pPr>
        <w:ind w:left="2160" w:hanging="180"/>
      </w:pPr>
    </w:lvl>
    <w:lvl w:ilvl="3" w:tplc="11905547" w:tentative="1">
      <w:start w:val="1"/>
      <w:numFmt w:val="decimal"/>
      <w:lvlText w:val="%4."/>
      <w:lvlJc w:val="left"/>
      <w:pPr>
        <w:ind w:left="2880" w:hanging="360"/>
      </w:pPr>
    </w:lvl>
    <w:lvl w:ilvl="4" w:tplc="11905547" w:tentative="1">
      <w:start w:val="1"/>
      <w:numFmt w:val="lowerLetter"/>
      <w:lvlText w:val="%5."/>
      <w:lvlJc w:val="left"/>
      <w:pPr>
        <w:ind w:left="3600" w:hanging="360"/>
      </w:pPr>
    </w:lvl>
    <w:lvl w:ilvl="5" w:tplc="11905547" w:tentative="1">
      <w:start w:val="1"/>
      <w:numFmt w:val="lowerRoman"/>
      <w:lvlText w:val="%6."/>
      <w:lvlJc w:val="right"/>
      <w:pPr>
        <w:ind w:left="4320" w:hanging="180"/>
      </w:pPr>
    </w:lvl>
    <w:lvl w:ilvl="6" w:tplc="11905547" w:tentative="1">
      <w:start w:val="1"/>
      <w:numFmt w:val="decimal"/>
      <w:lvlText w:val="%7."/>
      <w:lvlJc w:val="left"/>
      <w:pPr>
        <w:ind w:left="5040" w:hanging="360"/>
      </w:pPr>
    </w:lvl>
    <w:lvl w:ilvl="7" w:tplc="11905547" w:tentative="1">
      <w:start w:val="1"/>
      <w:numFmt w:val="lowerLetter"/>
      <w:lvlText w:val="%8."/>
      <w:lvlJc w:val="left"/>
      <w:pPr>
        <w:ind w:left="5760" w:hanging="360"/>
      </w:pPr>
    </w:lvl>
    <w:lvl w:ilvl="8" w:tplc="11905547" w:tentative="1">
      <w:start w:val="1"/>
      <w:numFmt w:val="lowerRoman"/>
      <w:lvlText w:val="%9."/>
      <w:lvlJc w:val="right"/>
      <w:pPr>
        <w:ind w:left="6480" w:hanging="180"/>
      </w:pPr>
    </w:lvl>
  </w:abstractNum>
  <w:abstractNum w:abstractNumId="3603">
    <w:multiLevelType w:val="hybridMultilevel"/>
    <w:lvl w:ilvl="0" w:tplc="2868749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3603">
    <w:abstractNumId w:val="3603"/>
  </w:num>
  <w:num w:numId="3604">
    <w:abstractNumId w:val="36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14034569" Type="http://schemas.openxmlformats.org/officeDocument/2006/relationships/comments" Target="comments.xml"/><Relationship Id="rId750720024" Type="http://schemas.microsoft.com/office/2011/relationships/commentsExtended" Target="commentsExtended.xml"/><Relationship Id="rId52119087" Type="http://schemas.openxmlformats.org/officeDocument/2006/relationships/image" Target="media/imgrId52119087.jpg"/><Relationship Id="rId413469f378bbaece0" Type="http://schemas.openxmlformats.org/officeDocument/2006/relationships/image" Target="media/imgrId413469f378bbaece0.jpg"/><Relationship Id="rId285469f378bbe0335" Type="http://schemas.openxmlformats.org/officeDocument/2006/relationships/image" Target="media/imgrId285469f378bbe0335.jpg"/><Relationship Id="rId952569f378bc4a6eb" Type="http://schemas.openxmlformats.org/officeDocument/2006/relationships/image" Target="media/imgrId952569f378bc4a6eb.jpg"/><Relationship Id="rId501669f378bc522c5" Type="http://schemas.openxmlformats.org/officeDocument/2006/relationships/image" Target="media/imgrId501669f378bc522c5.jpg"/><Relationship Id="rId440169f378bc5921a" Type="http://schemas.openxmlformats.org/officeDocument/2006/relationships/image" Target="media/imgrId440169f378bc5921a.jpg"/><Relationship Id="rId749069f378bc60bf5" Type="http://schemas.openxmlformats.org/officeDocument/2006/relationships/image" Target="media/imgrId749069f378bc60bf5.jpg"/><Relationship Id="rId505769f378bc683ad" Type="http://schemas.openxmlformats.org/officeDocument/2006/relationships/image" Target="media/imgrId505769f378bc683ad.jpg"/><Relationship Id="rId352169f378bc6f93d" Type="http://schemas.openxmlformats.org/officeDocument/2006/relationships/image" Target="media/imgrId352169f378bc6f93d.png"/><Relationship Id="rId266369f378bc72f5e" Type="http://schemas.openxmlformats.org/officeDocument/2006/relationships/image" Target="media/imgrId266369f378bc72f5e.png"/><Relationship Id="rId768669f378bc76f58" Type="http://schemas.openxmlformats.org/officeDocument/2006/relationships/image" Target="media/imgrId768669f378bc76f58.png"/><Relationship Id="rId487869f378bc7ba7d" Type="http://schemas.openxmlformats.org/officeDocument/2006/relationships/image" Target="media/imgrId487869f378bc7ba7d.jpg"/><Relationship Id="rId850769f378bc8315b" Type="http://schemas.openxmlformats.org/officeDocument/2006/relationships/image" Target="media/imgrId850769f378bc8315b.jpg"/><Relationship Id="rId810269f378bc8ab26" Type="http://schemas.openxmlformats.org/officeDocument/2006/relationships/image" Target="media/imgrId810269f378bc8ab26.jpg"/><Relationship Id="rId336369f378bc90946" Type="http://schemas.openxmlformats.org/officeDocument/2006/relationships/image" Target="media/imgrId336369f378bc90946.jpg"/><Relationship Id="rId577969f378bc96362" Type="http://schemas.openxmlformats.org/officeDocument/2006/relationships/image" Target="media/imgrId577969f378bc96362.jpg"/><Relationship Id="rId905169f378bc9d49c" Type="http://schemas.openxmlformats.org/officeDocument/2006/relationships/image" Target="media/imgrId905169f378bc9d49c.jpg"/><Relationship Id="rId307169f378bca1435" Type="http://schemas.openxmlformats.org/officeDocument/2006/relationships/image" Target="media/imgrId307169f378bca1435.jpg"/><Relationship Id="rId162769f378bca7622" Type="http://schemas.openxmlformats.org/officeDocument/2006/relationships/image" Target="media/imgrId162769f378bca7622.jpg"/><Relationship Id="rId147569f378bcac5f9" Type="http://schemas.openxmlformats.org/officeDocument/2006/relationships/image" Target="media/imgrId147569f378bcac5f9.jpg"/><Relationship Id="rId982169f378bcaef95" Type="http://schemas.openxmlformats.org/officeDocument/2006/relationships/image" Target="media/imgrId982169f378bcaef95.jpg"/><Relationship Id="rId490269f378bcb4539" Type="http://schemas.openxmlformats.org/officeDocument/2006/relationships/image" Target="media/imgrId490269f378bcb4539.jpg"/><Relationship Id="rId220169f378bcba677" Type="http://schemas.openxmlformats.org/officeDocument/2006/relationships/image" Target="media/imgrId220169f378bcba677.jpg"/><Relationship Id="rId426769f378bcc039f" Type="http://schemas.openxmlformats.org/officeDocument/2006/relationships/image" Target="media/imgrId426769f378bcc039f.jpg"/><Relationship Id="rId149369f378bcc5cf1" Type="http://schemas.openxmlformats.org/officeDocument/2006/relationships/image" Target="media/imgrId149369f378bcc5cf1.jpg"/><Relationship Id="rId200969f378bccaf16" Type="http://schemas.openxmlformats.org/officeDocument/2006/relationships/image" Target="media/imgrId200969f378bccaf16.jpg"/><Relationship Id="rId948669f378bccd85e" Type="http://schemas.openxmlformats.org/officeDocument/2006/relationships/image" Target="media/imgrId948669f378bccd85e.jpg"/><Relationship Id="rId401069f378bcd2b94" Type="http://schemas.openxmlformats.org/officeDocument/2006/relationships/image" Target="media/imgrId401069f378bcd2b94.jpg"/><Relationship Id="rId918769f378bcd5565" Type="http://schemas.openxmlformats.org/officeDocument/2006/relationships/image" Target="media/imgrId918769f378bcd5565.jpg"/><Relationship Id="rId963969f378bcdb647" Type="http://schemas.openxmlformats.org/officeDocument/2006/relationships/image" Target="media/imgrId963969f378bcdb647.jpg"/><Relationship Id="rId154469f378bce0bf1" Type="http://schemas.openxmlformats.org/officeDocument/2006/relationships/image" Target="media/imgrId154469f378bce0bf1.jpg"/><Relationship Id="rId434969f378bce4b2e" Type="http://schemas.openxmlformats.org/officeDocument/2006/relationships/image" Target="media/imgrId434969f378bce4b2e.jpg"/><Relationship Id="rId949669f378bce8415" Type="http://schemas.openxmlformats.org/officeDocument/2006/relationships/image" Target="media/imgrId949669f378bce8415.jpg"/><Relationship Id="rId287569f378bd0009a" Type="http://schemas.openxmlformats.org/officeDocument/2006/relationships/image" Target="media/imgrId287569f378bd0009a.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2119087" Type="http://schemas.openxmlformats.org/officeDocument/2006/relationships/image" Target="media/imgrId5211908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2119087" Type="http://schemas.openxmlformats.org/officeDocument/2006/relationships/image" Target="media/imgrId5211908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2119087" Type="http://schemas.openxmlformats.org/officeDocument/2006/relationships/image" Target="media/imgrId5211908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2119087" Type="http://schemas.openxmlformats.org/officeDocument/2006/relationships/image" Target="media/imgrId5211908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2119087" Type="http://schemas.openxmlformats.org/officeDocument/2006/relationships/image" Target="media/imgrId5211908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2119087" Type="http://schemas.openxmlformats.org/officeDocument/2006/relationships/image" Target="media/imgrId5211908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