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74569854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2396559"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0087074" w:name="ctxt"/>
    <w:bookmarkEnd w:id="30087074"/>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1278"/>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1076a02a1ba570b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3176a02a1ba572a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4106a02a1ba5749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9366a02a1ba5767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1280"/>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1280"/>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1280"/>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1280"/>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1280">
    <w:multiLevelType w:val="hybridMultilevel"/>
    <w:lvl w:ilvl="0" w:tplc="59473184">
      <w:start w:val="1"/>
      <w:numFmt w:val="decimal"/>
      <w:lvlText w:val="%1."/>
      <w:lvlJc w:val="left"/>
      <w:pPr>
        <w:ind w:left="720" w:hanging="360"/>
      </w:pPr>
    </w:lvl>
    <w:lvl w:ilvl="1" w:tplc="59473184" w:tentative="1">
      <w:start w:val="1"/>
      <w:numFmt w:val="lowerLetter"/>
      <w:lvlText w:val="%2."/>
      <w:lvlJc w:val="left"/>
      <w:pPr>
        <w:ind w:left="1440" w:hanging="360"/>
      </w:pPr>
    </w:lvl>
    <w:lvl w:ilvl="2" w:tplc="59473184" w:tentative="1">
      <w:start w:val="1"/>
      <w:numFmt w:val="lowerRoman"/>
      <w:lvlText w:val="%3."/>
      <w:lvlJc w:val="right"/>
      <w:pPr>
        <w:ind w:left="2160" w:hanging="180"/>
      </w:pPr>
    </w:lvl>
    <w:lvl w:ilvl="3" w:tplc="59473184" w:tentative="1">
      <w:start w:val="1"/>
      <w:numFmt w:val="decimal"/>
      <w:lvlText w:val="%4."/>
      <w:lvlJc w:val="left"/>
      <w:pPr>
        <w:ind w:left="2880" w:hanging="360"/>
      </w:pPr>
    </w:lvl>
    <w:lvl w:ilvl="4" w:tplc="59473184" w:tentative="1">
      <w:start w:val="1"/>
      <w:numFmt w:val="lowerLetter"/>
      <w:lvlText w:val="%5."/>
      <w:lvlJc w:val="left"/>
      <w:pPr>
        <w:ind w:left="3600" w:hanging="360"/>
      </w:pPr>
    </w:lvl>
    <w:lvl w:ilvl="5" w:tplc="59473184" w:tentative="1">
      <w:start w:val="1"/>
      <w:numFmt w:val="lowerRoman"/>
      <w:lvlText w:val="%6."/>
      <w:lvlJc w:val="right"/>
      <w:pPr>
        <w:ind w:left="4320" w:hanging="180"/>
      </w:pPr>
    </w:lvl>
    <w:lvl w:ilvl="6" w:tplc="59473184" w:tentative="1">
      <w:start w:val="1"/>
      <w:numFmt w:val="decimal"/>
      <w:lvlText w:val="%7."/>
      <w:lvlJc w:val="left"/>
      <w:pPr>
        <w:ind w:left="5040" w:hanging="360"/>
      </w:pPr>
    </w:lvl>
    <w:lvl w:ilvl="7" w:tplc="59473184" w:tentative="1">
      <w:start w:val="1"/>
      <w:numFmt w:val="lowerLetter"/>
      <w:lvlText w:val="%8."/>
      <w:lvlJc w:val="left"/>
      <w:pPr>
        <w:ind w:left="5760" w:hanging="360"/>
      </w:pPr>
    </w:lvl>
    <w:lvl w:ilvl="8" w:tplc="59473184" w:tentative="1">
      <w:start w:val="1"/>
      <w:numFmt w:val="lowerRoman"/>
      <w:lvlText w:val="%9."/>
      <w:lvlJc w:val="right"/>
      <w:pPr>
        <w:ind w:left="6480" w:hanging="180"/>
      </w:pPr>
    </w:lvl>
  </w:abstractNum>
  <w:abstractNum w:abstractNumId="21279">
    <w:multiLevelType w:val="hybridMultilevel"/>
    <w:lvl w:ilvl="0" w:tplc="71418881">
      <w:start w:val="1"/>
      <w:numFmt w:val="decimal"/>
      <w:lvlText w:val="%1."/>
      <w:lvlJc w:val="left"/>
      <w:pPr>
        <w:ind w:left="720" w:hanging="360"/>
      </w:pPr>
    </w:lvl>
    <w:lvl w:ilvl="1" w:tplc="71418881" w:tentative="1">
      <w:start w:val="1"/>
      <w:numFmt w:val="lowerLetter"/>
      <w:lvlText w:val="%2."/>
      <w:lvlJc w:val="left"/>
      <w:pPr>
        <w:ind w:left="1440" w:hanging="360"/>
      </w:pPr>
    </w:lvl>
    <w:lvl w:ilvl="2" w:tplc="71418881" w:tentative="1">
      <w:start w:val="1"/>
      <w:numFmt w:val="lowerRoman"/>
      <w:lvlText w:val="%3."/>
      <w:lvlJc w:val="right"/>
      <w:pPr>
        <w:ind w:left="2160" w:hanging="180"/>
      </w:pPr>
    </w:lvl>
    <w:lvl w:ilvl="3" w:tplc="71418881" w:tentative="1">
      <w:start w:val="1"/>
      <w:numFmt w:val="decimal"/>
      <w:lvlText w:val="%4."/>
      <w:lvlJc w:val="left"/>
      <w:pPr>
        <w:ind w:left="2880" w:hanging="360"/>
      </w:pPr>
    </w:lvl>
    <w:lvl w:ilvl="4" w:tplc="71418881" w:tentative="1">
      <w:start w:val="1"/>
      <w:numFmt w:val="lowerLetter"/>
      <w:lvlText w:val="%5."/>
      <w:lvlJc w:val="left"/>
      <w:pPr>
        <w:ind w:left="3600" w:hanging="360"/>
      </w:pPr>
    </w:lvl>
    <w:lvl w:ilvl="5" w:tplc="71418881" w:tentative="1">
      <w:start w:val="1"/>
      <w:numFmt w:val="lowerRoman"/>
      <w:lvlText w:val="%6."/>
      <w:lvlJc w:val="right"/>
      <w:pPr>
        <w:ind w:left="4320" w:hanging="180"/>
      </w:pPr>
    </w:lvl>
    <w:lvl w:ilvl="6" w:tplc="71418881" w:tentative="1">
      <w:start w:val="1"/>
      <w:numFmt w:val="decimal"/>
      <w:lvlText w:val="%7."/>
      <w:lvlJc w:val="left"/>
      <w:pPr>
        <w:ind w:left="5040" w:hanging="360"/>
      </w:pPr>
    </w:lvl>
    <w:lvl w:ilvl="7" w:tplc="71418881" w:tentative="1">
      <w:start w:val="1"/>
      <w:numFmt w:val="lowerLetter"/>
      <w:lvlText w:val="%8."/>
      <w:lvlJc w:val="left"/>
      <w:pPr>
        <w:ind w:left="5760" w:hanging="360"/>
      </w:pPr>
    </w:lvl>
    <w:lvl w:ilvl="8" w:tplc="71418881" w:tentative="1">
      <w:start w:val="1"/>
      <w:numFmt w:val="lowerRoman"/>
      <w:lvlText w:val="%9."/>
      <w:lvlJc w:val="right"/>
      <w:pPr>
        <w:ind w:left="6480" w:hanging="180"/>
      </w:pPr>
    </w:lvl>
  </w:abstractNum>
  <w:abstractNum w:abstractNumId="21278">
    <w:multiLevelType w:val="hybridMultilevel"/>
    <w:lvl w:ilvl="0" w:tplc="76356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278">
    <w:abstractNumId w:val="21278"/>
  </w:num>
  <w:num w:numId="21279">
    <w:abstractNumId w:val="21279"/>
  </w:num>
  <w:num w:numId="21280">
    <w:abstractNumId w:val="212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12861764" Type="http://schemas.openxmlformats.org/officeDocument/2006/relationships/comments" Target="comments.xml"/><Relationship Id="rId758831938" Type="http://schemas.microsoft.com/office/2011/relationships/commentsExtended" Target="commentsExtended.xml"/><Relationship Id="rId12396559" Type="http://schemas.openxmlformats.org/officeDocument/2006/relationships/image" Target="media/imgrId12396559.jpg"/><Relationship Id="rId51076a02a1ba570bb" Type="http://schemas.openxmlformats.org/officeDocument/2006/relationships/hyperlink" Target="http://dealers.kohlerpower.it/" TargetMode="External"/><Relationship Id="rId23176a02a1ba572aa" Type="http://schemas.openxmlformats.org/officeDocument/2006/relationships/hyperlink" Target="http://dealers.kohlerpower.it/" TargetMode="External"/><Relationship Id="rId64106a02a1ba57493" Type="http://schemas.openxmlformats.org/officeDocument/2006/relationships/hyperlink" Target="http://dealers.kohlerpower.it/" TargetMode="External"/><Relationship Id="rId49366a02a1ba57678"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2396559" Type="http://schemas.openxmlformats.org/officeDocument/2006/relationships/image" Target="media/imgrId1239655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2396559" Type="http://schemas.openxmlformats.org/officeDocument/2006/relationships/image" Target="media/imgrId1239655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2396559" Type="http://schemas.openxmlformats.org/officeDocument/2006/relationships/image" Target="media/imgrId1239655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2396559" Type="http://schemas.openxmlformats.org/officeDocument/2006/relationships/image" Target="media/imgrId1239655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2396559" Type="http://schemas.openxmlformats.org/officeDocument/2006/relationships/image" Target="media/imgrId1239655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2396559" Type="http://schemas.openxmlformats.org/officeDocument/2006/relationships/image" Target="media/imgrId1239655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