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2504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6881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82446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345717" w:name="ctxt"/>
    <w:bookmarkEnd w:id="39345717"/>
    <w:p>
      <w:pPr>
        <w:widowControl w:val="on"/>
        <w:pBdr/>
        <w:spacing w:before="75" w:after="75" w:line="240" w:lineRule="auto"/>
        <w:ind w:left="75" w:right="75"/>
        <w:jc w:val="left"/>
      </w:pPr>
    </w:p>
    <w:p>
      <w:pPr>
        <w:pStyle w:val="Titolo1"/>
      </w:pPr>
      <w:r>
        <w:rPr/>
        <w:t xml:space="preserve">概述</w:t>
      </w:r>
    </w:p>
    <w:p>
      <w:pPr>
        <w:widowControl w:val="on"/>
        <w:pBdr/>
        <w:spacing w:before="0" w:after="0" w:line="240" w:lineRule="auto"/>
        <w:ind w:left="0" w:right="0"/>
        <w:jc w:val="left"/>
      </w:pPr>
    </w:p>
    <w:p>
      <w:pPr>
        <w:pStyle w:val="Titolo2"/>
      </w:pPr>
      <w:r>
        <w:rPr/>
        <w:t xml:space="preserve">有用的信息</w:t>
      </w:r>
    </w:p>
    <w:p>
      <w:pPr>
        <w:numPr>
          <w:ilvl w:val="0"/>
          <w:numId w:val="24698"/>
        </w:numPr>
        <w:spacing w:before="0" w:after="0" w:line="240" w:lineRule="auto"/>
        <w:jc w:val="left"/>
        <w:rPr>
          <w:color w:val="00274C"/>
          <w:sz w:val="20"/>
          <w:szCs w:val="20"/>
        </w:rPr>
      </w:pPr>
      <w:r>
        <w:rPr>
          <w:color w:val="00274C"/>
          <w:sz w:val="20"/>
          <w:szCs w:val="20"/>
          <w:u w:val="none"/>
        </w:rPr>
        <w:t xml:space="preserve">本手册所包含的发动机使用及维护操作说明必须严格执行，因 此必须妥善保存以便将来需要的时候使用。</w:t>
      </w:r>
    </w:p>
    <w:p>
      <w:pPr>
        <w:numPr>
          <w:ilvl w:val="0"/>
          <w:numId w:val="24698"/>
        </w:numPr>
        <w:spacing w:before="0" w:after="0" w:line="240" w:lineRule="auto"/>
        <w:jc w:val="left"/>
        <w:rPr>
          <w:color w:val="00274C"/>
          <w:sz w:val="20"/>
          <w:szCs w:val="20"/>
        </w:rPr>
      </w:pPr>
      <w:r>
        <w:rPr>
          <w:color w:val="00274C"/>
          <w:sz w:val="20"/>
          <w:szCs w:val="20"/>
          <w:u w:val="none"/>
        </w:rPr>
        <w:t xml:space="preserve">本手册中的信息，说明和图片反映的是当时市场销售的发动机的状态。 ( </w:t>
      </w:r>
      <w:hyperlink r:id="rId19716a03369d7890d" w:history="1">
        <w:r>
          <w:rPr>
            <w:rStyle w:val="DefaultParagraphFontPHPDOCX"/>
            <w:b/>
            <w:bCs/>
            <w:color w:val="0000FF"/>
            <w:sz w:val="20"/>
            <w:szCs w:val="20"/>
            <w:u w:val="none"/>
          </w:rPr>
          <w:t xml:space="preserve">段落. 1.3</w:t>
        </w:r>
      </w:hyperlink>
      <w:r>
        <w:rPr>
          <w:color w:val="00274C"/>
          <w:sz w:val="20"/>
          <w:szCs w:val="20"/>
          <w:u w:val="none"/>
        </w:rPr>
        <w:t xml:space="preserve"> / </w:t>
      </w:r>
      <w:hyperlink r:id="rId19646a03369d789ea" w:history="1">
        <w:r>
          <w:rPr>
            <w:rStyle w:val="DefaultParagraphFontPHPDOCX"/>
            <w:b/>
            <w:bCs/>
            <w:color w:val="0000FF"/>
            <w:sz w:val="20"/>
            <w:szCs w:val="20"/>
            <w:u w:val="none"/>
          </w:rPr>
          <w:t xml:space="preserve">段落. 1.4</w:t>
        </w:r>
      </w:hyperlink>
      <w:r>
        <w:rPr>
          <w:color w:val="00274C"/>
          <w:sz w:val="20"/>
          <w:szCs w:val="20"/>
          <w:u w:val="none"/>
        </w:rPr>
        <w:t xml:space="preserve"> ).</w:t>
      </w:r>
    </w:p>
    <w:p>
      <w:pPr>
        <w:numPr>
          <w:ilvl w:val="0"/>
          <w:numId w:val="24698"/>
        </w:numPr>
        <w:spacing w:before="0" w:after="0" w:line="240" w:lineRule="auto"/>
        <w:jc w:val="left"/>
        <w:rPr>
          <w:color w:val="00274C"/>
          <w:sz w:val="20"/>
          <w:szCs w:val="20"/>
        </w:rPr>
      </w:pPr>
      <w:r>
        <w:rPr>
          <w:color w:val="00274C"/>
          <w:sz w:val="20"/>
          <w:szCs w:val="20"/>
          <w:u w:val="none"/>
        </w:rPr>
        <w:t xml:space="preserve">无论如何发动机改进是持续的，对于本手册信息的更改是无需 通知和无责的。</w:t>
      </w:r>
    </w:p>
    <w:p>
      <w:pPr>
        <w:numPr>
          <w:ilvl w:val="0"/>
          <w:numId w:val="24698"/>
        </w:numPr>
        <w:spacing w:before="0" w:after="0" w:line="240" w:lineRule="auto"/>
        <w:jc w:val="left"/>
        <w:rPr>
          <w:color w:val="00274C"/>
          <w:sz w:val="20"/>
          <w:szCs w:val="20"/>
        </w:rPr>
      </w:pPr>
      <w:r>
        <w:rPr>
          <w:color w:val="00274C"/>
          <w:sz w:val="20"/>
          <w:szCs w:val="20"/>
          <w:u w:val="none"/>
        </w:rPr>
        <w:t xml:space="preserve">任何时候科勒公司因为技术或商务原因有权对发动机做改动。</w:t>
      </w:r>
    </w:p>
    <w:p>
      <w:pPr>
        <w:numPr>
          <w:ilvl w:val="0"/>
          <w:numId w:val="24698"/>
        </w:numPr>
        <w:spacing w:before="0" w:after="0" w:line="240" w:lineRule="auto"/>
        <w:jc w:val="left"/>
        <w:rPr>
          <w:color w:val="00274C"/>
          <w:sz w:val="20"/>
          <w:szCs w:val="20"/>
        </w:rPr>
      </w:pPr>
      <w:r>
        <w:rPr>
          <w:color w:val="00274C"/>
          <w:sz w:val="20"/>
          <w:szCs w:val="20"/>
          <w:u w:val="none"/>
        </w:rPr>
        <w:t xml:space="preserve">这些改变不要求科勒公司对市场上的发动机做相应改动并且不需要考虑本手册的不适宜。</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段落，表格和图片根据渐进的数字以章节划分的。</w:t>
      </w:r>
    </w:p>
    <w:p>
      <w:pPr>
        <w:widowControl w:val="on"/>
        <w:pBdr/>
        <w:spacing w:before="0" w:after="0" w:line="262" w:lineRule="auto"/>
        <w:ind w:left="0" w:right="0"/>
        <w:jc w:val="left"/>
      </w:pPr>
      <w:r>
        <w:rPr>
          <w:color w:val="00274C"/>
          <w:sz w:val="20"/>
          <w:szCs w:val="20"/>
          <w:u w:val="none"/>
        </w:rPr>
        <w:t xml:space="preserve">例如:  段落. 1.3 - 章节1 段落 3.          表格. 2.4 - 章节2 表格 4.</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图片. 4.5 - 章节4 图片 5.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注意:</w:t>
      </w:r>
      <w:r>
        <w:rPr>
          <w:color w:val="00274C"/>
          <w:sz w:val="20"/>
          <w:szCs w:val="20"/>
          <w:u w:val="none"/>
        </w:rPr>
        <w:t xml:space="preserve"> 章节包含其次章节</w:t>
      </w:r>
    </w:p>
    <w:p>
      <w:pPr>
        <w:widowControl w:val="on"/>
        <w:pBdr/>
        <w:spacing w:before="0" w:after="0" w:line="262" w:lineRule="auto"/>
        <w:ind w:left="0" w:right="0"/>
        <w:jc w:val="left"/>
      </w:pPr>
      <w:r>
        <w:rPr>
          <w:color w:val="00274C"/>
          <w:sz w:val="20"/>
          <w:szCs w:val="20"/>
          <w:u w:val="none"/>
        </w:rPr>
        <w:t xml:space="preserve"> </w:t>
      </w:r>
    </w:p>
    <w:p>
      <w:pPr>
        <w:numPr>
          <w:ilvl w:val="0"/>
          <w:numId w:val="24698"/>
        </w:numPr>
        <w:spacing w:before="0" w:after="0" w:line="240" w:lineRule="auto"/>
        <w:jc w:val="left"/>
        <w:rPr>
          <w:color w:val="00274C"/>
          <w:sz w:val="20"/>
          <w:szCs w:val="20"/>
        </w:rPr>
      </w:pPr>
      <w:r>
        <w:rPr>
          <w:color w:val="00274C"/>
          <w:sz w:val="20"/>
          <w:szCs w:val="20"/>
          <w:u w:val="none"/>
        </w:rPr>
        <w:t xml:space="preserve">本手册专业词汇所列和所描述的所有的数据、特殊部件和符号 </w:t>
      </w:r>
      <w:r>
        <w:rPr>
          <w:b/>
          <w:bCs/>
          <w:color w:val="00274C"/>
          <w:sz w:val="20"/>
          <w:szCs w:val="20"/>
          <w:u w:val="none"/>
        </w:rPr>
        <w:t xml:space="preserve">(</w:t>
      </w:r>
      <w:r>
        <w:rPr>
          <w:color w:val="00274C"/>
          <w:sz w:val="20"/>
          <w:szCs w:val="20"/>
          <w:u w:val="none"/>
        </w:rPr>
        <w:t xml:space="preserve"> </w:t>
      </w:r>
      <w:hyperlink r:id="rId77156a03369d792b0" w:history="1">
        <w:r>
          <w:rPr>
            <w:rStyle w:val="DefaultParagraphFontPHPDOCX"/>
            <w:b/>
            <w:bCs/>
            <w:color w:val="0000FF"/>
            <w:sz w:val="20"/>
            <w:szCs w:val="20"/>
            <w:u w:val="single" w:color=""/>
          </w:rPr>
          <w:t xml:space="preserve">表 15.1</w:t>
        </w:r>
      </w:hyperlink>
      <w:r>
        <w:rPr>
          <w:b/>
          <w:bCs/>
          <w:color w:val="00274C"/>
          <w:sz w:val="20"/>
          <w:szCs w:val="20"/>
          <w:u w:val="none"/>
        </w:rPr>
        <w:t xml:space="preserve"> )</w:t>
      </w:r>
      <w:r>
        <w:rPr>
          <w:color w:val="00274C"/>
          <w:sz w:val="20"/>
          <w:szCs w:val="20"/>
          <w:u w:val="none"/>
        </w:rPr>
        <w:t xml:space="preserve"> 都包含在章节 </w:t>
      </w:r>
      <w:r>
        <w:rPr>
          <w:b/>
          <w:bCs/>
          <w:color w:val="00274C"/>
          <w:sz w:val="20"/>
          <w:szCs w:val="20"/>
          <w:u w:val="none"/>
        </w:rPr>
        <w:t xml:space="preserve">(</w:t>
      </w:r>
      <w:r>
        <w:rPr>
          <w:color w:val="00274C"/>
          <w:sz w:val="20"/>
          <w:szCs w:val="20"/>
          <w:u w:val="none"/>
        </w:rPr>
        <w:t xml:space="preserve"> </w:t>
      </w:r>
      <w:hyperlink r:id="rId69656a03369d7942d" w:history="1">
        <w:r>
          <w:rPr>
            <w:rStyle w:val="DefaultParagraphFontPHPDOCX"/>
            <w:b/>
            <w:bCs/>
            <w:color w:val="0000FF"/>
            <w:sz w:val="20"/>
            <w:szCs w:val="20"/>
            <w:u w:val="single" w:color=""/>
          </w:rPr>
          <w:t xml:space="preserve">第15</w:t>
        </w:r>
      </w:hyperlink>
      <w:r>
        <w:rPr>
          <w:color w:val="00274C"/>
          <w:sz w:val="20"/>
          <w:szCs w:val="20"/>
          <w:u w:val="none"/>
        </w:rPr>
        <w:t xml:space="preserve"> </w:t>
      </w:r>
      <w:hyperlink r:id="rId77416a03369d794d6" w:history="1">
        <w:r>
          <w:rPr>
            <w:rStyle w:val="DefaultParagraphFontPHPDOCX"/>
            <w:b/>
            <w:bCs/>
            <w:color w:val="0000FF"/>
            <w:sz w:val="20"/>
            <w:szCs w:val="20"/>
            <w:u w:val="single" w:color=""/>
          </w:rPr>
          <w:t xml:space="preserve">节</w:t>
        </w:r>
      </w:hyperlink>
      <w:r>
        <w:rPr>
          <w:b/>
          <w:bCs/>
          <w:color w:val="00274C"/>
          <w:sz w:val="20"/>
          <w:szCs w:val="20"/>
          <w:u w:val="none"/>
        </w:rPr>
        <w:t xml:space="preserve"> )</w:t>
      </w:r>
      <w:r>
        <w:rPr>
          <w:color w:val="00274C"/>
          <w:sz w:val="20"/>
          <w:szCs w:val="20"/>
          <w:u w:val="none"/>
        </w:rPr>
        <w:t xml:space="preserve"> 。  </w:t>
      </w:r>
    </w:p>
    <w:p>
      <w:pPr>
        <w:numPr>
          <w:ilvl w:val="0"/>
          <w:numId w:val="24698"/>
        </w:numPr>
        <w:spacing w:before="0" w:after="0" w:line="240" w:lineRule="auto"/>
        <w:jc w:val="left"/>
        <w:rPr>
          <w:color w:val="00274C"/>
          <w:sz w:val="20"/>
          <w:szCs w:val="20"/>
        </w:rPr>
      </w:pPr>
      <w:r>
        <w:rPr>
          <w:color w:val="00274C"/>
          <w:sz w:val="20"/>
          <w:szCs w:val="20"/>
          <w:u w:val="none"/>
        </w:rPr>
        <w:t xml:space="preserve">本手册中通过文字描述的对象，图片和数字总是和你正在阅读的 段落相关，除非其它的图片和段落有特别指明。</w:t>
      </w:r>
    </w:p>
    <w:p>
      <w:pPr>
        <w:numPr>
          <w:ilvl w:val="0"/>
          <w:numId w:val="24698"/>
        </w:numPr>
        <w:spacing w:before="0" w:after="0" w:line="240" w:lineRule="auto"/>
        <w:jc w:val="left"/>
        <w:rPr>
          <w:color w:val="00274C"/>
          <w:sz w:val="20"/>
          <w:szCs w:val="20"/>
        </w:rPr>
      </w:pPr>
      <w:r>
        <w:rPr>
          <w:color w:val="00274C"/>
          <w:sz w:val="20"/>
          <w:szCs w:val="20"/>
          <w:u w:val="none"/>
        </w:rPr>
        <w:t xml:space="preserve"> 所提及的数值由字母或数字标示（ </w:t>
      </w:r>
      <w:r>
        <w:rPr>
          <w:b/>
          <w:bCs/>
          <w:color w:val="00274C"/>
          <w:sz w:val="20"/>
          <w:szCs w:val="20"/>
          <w:u w:val="none"/>
        </w:rPr>
        <w:t xml:space="preserve">使用下划线</w:t>
      </w:r>
      <w:r>
        <w:rPr>
          <w:color w:val="00274C"/>
          <w:sz w:val="20"/>
          <w:szCs w:val="20"/>
          <w:u w:val="none"/>
        </w:rPr>
        <w:t xml:space="preserve"> ）</w:t>
      </w:r>
    </w:p>
    <w:p>
      <w:pPr>
        <w:numPr>
          <w:ilvl w:val="0"/>
          <w:numId w:val="24698"/>
        </w:numPr>
        <w:spacing w:before="0" w:after="0" w:line="240" w:lineRule="auto"/>
        <w:jc w:val="left"/>
        <w:rPr>
          <w:color w:val="00274C"/>
          <w:sz w:val="20"/>
          <w:szCs w:val="20"/>
        </w:rPr>
      </w:pPr>
      <w:r>
        <w:rPr>
          <w:color w:val="00274C"/>
          <w:sz w:val="20"/>
          <w:szCs w:val="20"/>
          <w:u w:val="none"/>
        </w:rPr>
        <w:t xml:space="preserve">在本手册发布后的科勒公司认为所需任何的附件将要和本手册 一起并被视为本手册的一部分。</w:t>
      </w:r>
    </w:p>
    <w:p>
      <w:pPr>
        <w:numPr>
          <w:ilvl w:val="0"/>
          <w:numId w:val="24698"/>
        </w:numPr>
        <w:spacing w:before="0" w:after="0" w:line="240" w:lineRule="auto"/>
        <w:jc w:val="left"/>
        <w:rPr>
          <w:color w:val="00274C"/>
          <w:sz w:val="20"/>
          <w:szCs w:val="20"/>
        </w:rPr>
      </w:pPr>
      <w:r>
        <w:rPr>
          <w:color w:val="00274C"/>
          <w:sz w:val="20"/>
          <w:szCs w:val="20"/>
          <w:u w:val="none"/>
        </w:rPr>
        <w:t xml:space="preserve">本手册包含的信息是科勒公司独有的财产。未经科勒公司书面允 许不能全部或部分复制和印刷本手册。</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有用信息-事故避免-环境影响</w:t>
      </w:r>
    </w:p>
    <w:p>
      <w:pPr>
        <w:widowControl w:val="on"/>
        <w:pBdr/>
        <w:spacing w:before="0" w:after="0" w:line="262" w:lineRule="auto"/>
        <w:ind w:left="0" w:right="0"/>
        <w:jc w:val="left"/>
      </w:pPr>
      <w:r>
        <w:rPr>
          <w:b/>
          <w:bCs/>
          <w:color w:val="00274C"/>
          <w:sz w:val="20"/>
          <w:szCs w:val="20"/>
          <w:u w:val="none"/>
        </w:rPr>
        <w:t xml:space="preserve"> </w:t>
      </w:r>
    </w:p>
    <w:p>
      <w:pPr>
        <w:numPr>
          <w:ilvl w:val="0"/>
          <w:numId w:val="24698"/>
        </w:numPr>
        <w:spacing w:before="0" w:after="0" w:line="240" w:lineRule="auto"/>
        <w:jc w:val="left"/>
        <w:rPr>
          <w:color w:val="00274C"/>
          <w:sz w:val="20"/>
          <w:szCs w:val="20"/>
        </w:rPr>
      </w:pPr>
      <w:r>
        <w:rPr>
          <w:color w:val="00274C"/>
          <w:sz w:val="20"/>
          <w:szCs w:val="20"/>
          <w:u w:val="none"/>
        </w:rPr>
        <w:t xml:space="preserve">在进行维修-移动发动机之前，请阅读第三章节所包含的关于安 全和环境的重要信息。 ( </w:t>
      </w:r>
      <w:hyperlink r:id="rId88626a03369d79b96" w:history="1"/>
      <w:r>
        <w:rPr>
          <w:rStyle w:val="DefaultParagraphFontPHPDOCX"/>
          <w:color w:val="00274C"/>
          <w:sz w:val="20"/>
          <w:szCs w:val="20"/>
          <w:u w:val="none"/>
        </w:rPr>
        <w:t xml:space="preserve"> </w:t>
      </w:r>
      <w:hyperlink r:id="rId88626a03369d79bee" w:history="1">
        <w:r>
          <w:rPr>
            <w:rStyle w:val="DefaultParagraphFontPHPDOCX"/>
            <w:color w:val="0000FF"/>
            <w:sz w:val="20"/>
            <w:szCs w:val="20"/>
            <w:u w:val="single" w:color=""/>
          </w:rPr>
          <w:t xml:space="preserve">第</w:t>
        </w:r>
      </w:hyperlink>
      <w:r>
        <w:rPr>
          <w:color w:val="00274C"/>
          <w:sz w:val="20"/>
          <w:szCs w:val="20"/>
          <w:u w:val="none"/>
        </w:rPr>
        <w:t xml:space="preserve"> 3 </w:t>
      </w:r>
      <w:hyperlink r:id="rId59666a03369d79ca2" w:history="1">
        <w:r>
          <w:rPr>
            <w:rStyle w:val="DefaultParagraphFontPHPDOCX"/>
            <w:b/>
            <w:bCs/>
            <w:color w:val="0000FF"/>
            <w:sz w:val="20"/>
            <w:szCs w:val="20"/>
            <w:u w:val="single" w:color=""/>
          </w:rPr>
          <w:t xml:space="preserve">节</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厂家和发动机识别</w:t>
      </w:r>
    </w:p>
    <w:p>
      <w:pPr>
        <w:widowControl w:val="on"/>
        <w:pBdr/>
        <w:spacing w:before="0" w:after="0" w:line="262" w:lineRule="auto"/>
        <w:ind w:left="0" w:right="0"/>
        <w:jc w:val="left"/>
      </w:pPr>
      <w:r>
        <w:rPr>
          <w:color w:val="00274C"/>
          <w:sz w:val="20"/>
          <w:szCs w:val="20"/>
          <w:u w:val="none"/>
        </w:rPr>
        <w:t xml:space="preserve">发动机铭牌位于如下的飞轮或正时系统侧。</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44000" cy="2527200"/>
            <wp:effectExtent b="0" l="0" r="0" t="0"/>
            <wp:docPr id="40599658" name="name77546a03369d86971" descr="Identificazione_motore_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motore_ZH.jpg"/>
                    <pic:cNvPicPr/>
                  </pic:nvPicPr>
                  <pic:blipFill>
                    <a:blip r:embed="rId94786a03369d8696e" cstate="print"/>
                    <a:stretch>
                      <a:fillRect/>
                    </a:stretch>
                  </pic:blipFill>
                  <pic:spPr>
                    <a:xfrm>
                      <a:off x="0" y="0"/>
                      <a:ext cx="3744000" cy="25272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图</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1.1 - </w:t>
      </w:r>
      <w:r>
        <w:rPr>
          <w:color w:val="00274C"/>
          <w:sz w:val="20"/>
          <w:szCs w:val="20"/>
          <w:u w:val="none"/>
        </w:rPr>
        <w:t xml:space="preserve"> </w:t>
      </w:r>
      <w:r>
        <w:rPr>
          <w:b/>
          <w:bCs/>
          <w:color w:val="00274C"/>
          <w:sz w:val="20"/>
          <w:szCs w:val="20"/>
          <w:u w:val="none"/>
        </w:rPr>
        <w:t xml:space="preserve">图</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225" w:after="225" w:line="262" w:lineRule="auto"/>
        <w:ind w:left="0" w:right="0"/>
        <w:jc w:val="left"/>
      </w:pPr>
      <w:bookmarkStart w:id="48646285" w:name="__mcenew"/>
      <w:bookmarkEnd w:id="48646285"/>
      <w:r>
        <w:drawing>
          <wp:inline distT="0" distB="0" distL="0" distR="0">
            <wp:extent cx="3722400" cy="1512000"/>
            <wp:effectExtent b="0" l="0" r="0" t="0"/>
            <wp:docPr id="26485817" name="name55676a03369d98196" descr="Targhetta_motore_Z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motore_ZH.jpg"/>
                    <pic:cNvPicPr/>
                  </pic:nvPicPr>
                  <pic:blipFill>
                    <a:blip r:embed="rId38356a03369d98194" cstate="print"/>
                    <a:stretch>
                      <a:fillRect/>
                    </a:stretch>
                  </pic:blipFill>
                  <pic:spPr>
                    <a:xfrm>
                      <a:off x="0" y="0"/>
                      <a:ext cx="3722400" cy="15120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图</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发动机主要内部件的识别和运转示意（基本规格型号）</w:t>
      </w:r>
    </w:p>
    <w:p>
      <w:pPr>
        <w:widowControl w:val="on"/>
        <w:pBdr/>
        <w:spacing w:before="0" w:after="0" w:line="262" w:lineRule="auto"/>
        <w:ind w:left="0" w:right="0"/>
        <w:jc w:val="left"/>
      </w:pPr>
      <w:r>
        <w:rPr>
          <w:b/>
          <w:bCs/>
          <w:color w:val="00274C"/>
          <w:sz w:val="20"/>
          <w:szCs w:val="20"/>
          <w:u w:val="none"/>
        </w:rPr>
        <w:t xml:space="preserve">从排烟侧看</w:t>
      </w:r>
    </w:p>
    <w:p>
      <w:pPr>
        <w:widowControl w:val="on"/>
        <w:pBdr/>
        <w:spacing w:before="225" w:after="225" w:line="262" w:lineRule="auto"/>
        <w:ind w:left="0" w:right="0"/>
        <w:jc w:val="left"/>
      </w:pPr>
      <w:r>
        <w:drawing>
          <wp:inline distT="0" distB="0" distL="0" distR="0">
            <wp:extent cx="4824000" cy="3124800"/>
            <wp:effectExtent b="0" l="0" r="0" t="0"/>
            <wp:docPr id="40310280" name="name81756a03369da1d95"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67996a03369da1d92"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图.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以下章节包含的运行参考图是为了清楚的理解发动机。这个章节显示的参考图是为了识别一些主要内部部件。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当你需要执行一些复杂的操作时，请参考这个章节</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注意:</w:t>
            </w:r>
            <w:r>
              <w:rPr>
                <w:color w:val="00274C"/>
                <w:position w:val="-2"/>
                <w:sz w:val="20"/>
                <w:szCs w:val="20"/>
                <w:u w:val="none"/>
              </w:rPr>
              <w:t xml:space="preserve">     在执行拆卸和安装操作时打开此页面参考是有帮助的。</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表. 1.1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标识</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描述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3874913" name="name53586a03369da7c3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1856a03369da7c3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从正时系统侧看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5090654" name="name39776a03369daac8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6376a03369daac7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从飞轮侧看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9749619" name="name96566a03369dae93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3386a03369dae93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从排烟侧看</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2863558" name="name77996a03369db24f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3476a03369db24f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从进气侧看</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气缸/活塞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气缸/活塞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气缸/活塞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气缸/活塞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描述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曲轴皮带轮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正时齿轮系统</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节温器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机油吸入管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排气歧管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进气总管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第三、第四PTO接口齿轮（可选）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飞轮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喷油器(1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飞轮侧</w:t>
      </w:r>
      <w:r>
        <w:drawing>
          <wp:inline distT="0" distB="0" distL="0" distR="0">
            <wp:extent cx="4824000" cy="3297600"/>
            <wp:effectExtent b="0" l="0" r="0" t="0"/>
            <wp:docPr id="6191576" name="name31676a03369dc0183"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43506a03369dc0181"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图.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正时系统侧</w:t>
      </w:r>
      <w:r>
        <w:drawing>
          <wp:inline distT="0" distB="0" distL="0" distR="0">
            <wp:extent cx="4824000" cy="3297600"/>
            <wp:effectExtent b="0" l="0" r="0" t="0"/>
            <wp:docPr id="74802527" name="name72156a03369dcb9ed"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98366a03369dcb9ea"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图.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发动机外部件的识别（基本规格型号）</w:t>
      </w:r>
    </w:p>
    <w:p>
      <w:pPr>
        <w:widowControl w:val="on"/>
        <w:pBdr/>
        <w:spacing w:before="0" w:after="0" w:line="262" w:lineRule="auto"/>
        <w:ind w:left="0" w:right="0"/>
        <w:jc w:val="left"/>
      </w:pPr>
      <w:r>
        <w:rPr>
          <w:b/>
          <w:bCs/>
          <w:color w:val="00274C"/>
          <w:sz w:val="20"/>
          <w:szCs w:val="20"/>
          <w:u w:val="none"/>
        </w:rPr>
        <w:t xml:space="preserve">正时系统侧 - 排烟</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drawing>
          <wp:inline distT="0" distB="0" distL="0" distR="0">
            <wp:extent cx="4824000" cy="3132000"/>
            <wp:effectExtent b="0" l="0" r="0" t="0"/>
            <wp:docPr id="19021377" name="name92916a03369dd8741"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13096a03369dd873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图.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飞轮侧  - 进气</w:t>
      </w:r>
      <w:r>
        <w:drawing>
          <wp:inline distT="0" distB="0" distL="0" distR="0">
            <wp:extent cx="4838400" cy="3304800"/>
            <wp:effectExtent b="0" l="0" r="0" t="0"/>
            <wp:docPr id="65244357" name="name27036a03369e07c25"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92006a03369e07c22" cstate="print"/>
                    <a:stretch>
                      <a:fillRect/>
                    </a:stretch>
                  </pic:blipFill>
                  <pic:spPr>
                    <a:xfrm>
                      <a:off x="0" y="0"/>
                      <a:ext cx="4838400" cy="3304800"/>
                    </a:xfrm>
                    <a:prstGeom prst="rect">
                      <a:avLst/>
                    </a:prstGeom>
                    <a:ln w="0">
                      <a:noFill/>
                    </a:ln>
                  </pic:spPr>
                </pic:pic>
              </a:graphicData>
            </a:graphic>
          </wp:inline>
        </w:drawing>
      </w:r>
      <w:r>
        <w:rPr>
          <w:b/>
          <w:bCs/>
          <w:color w:val="00274C"/>
          <w:sz w:val="20"/>
          <w:szCs w:val="20"/>
          <w:u w:val="none"/>
        </w:rPr>
        <w:br/>
        <w:br/>
        <w:t xml:space="preserve">图.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这章节显示的所有外部件都是基本规格号发动机</w:t>
            </w:r>
            <w:r>
              <w:rPr>
                <w:color w:val="00274C"/>
                <w:position w:val="-2"/>
                <w:sz w:val="20"/>
                <w:szCs w:val="20"/>
                <w:u w:val="none"/>
              </w:rPr>
              <w:br/>
              <w:t xml:space="preserve">发动机上出现的和本章节不同的部件参考第11章。 </w:t>
            </w:r>
            <w:hyperlink r:id="rId86586a03369e07fad" w:history="1">
              <w:r>
                <w:rPr>
                  <w:rStyle w:val="DefaultParagraphFontPHPDOCX"/>
                  <w:b/>
                  <w:bCs/>
                  <w:color w:val="0000FF"/>
                  <w:position w:val="-2"/>
                  <w:sz w:val="20"/>
                  <w:szCs w:val="20"/>
                  <w:u w:val="single" w:color=""/>
                </w:rPr>
                <w:t xml:space="preserve">第11章节</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注意:</w:t>
            </w:r>
            <w:r>
              <w:rPr>
                <w:color w:val="00274C"/>
                <w:position w:val="0"/>
                <w:sz w:val="20"/>
                <w:szCs w:val="20"/>
                <w:u w:val="none"/>
              </w:rPr>
              <w:t xml:space="preserve"> 发动机上的部件可能不同于这里所示的；本文件所显示的部件仅仅只是示例。</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表.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描述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加机油盖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机油压力传感器（开关量）</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起动马达</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机油泄放塞</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发动机铭牌</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充电机</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冷却水泵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冷却水温度传感器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侧面加机油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节温器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柴油喷射泵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机油滤清器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机油尺</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柴油滤清器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曲轴皮带轮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飞轮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进气总管</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描述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排气歧管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飞轮壳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喷油器</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上部</w:t>
      </w:r>
      <w:r>
        <w:drawing>
          <wp:inline distT="0" distB="0" distL="0" distR="0">
            <wp:extent cx="4960800" cy="3312000"/>
            <wp:effectExtent b="0" l="0" r="0" t="0"/>
            <wp:docPr id="23361978" name="name72996a03369e3ceee"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2276a03369e3cee9" cstate="print"/>
                    <a:stretch>
                      <a:fillRect/>
                    </a:stretch>
                  </pic:blipFill>
                  <pic:spPr>
                    <a:xfrm>
                      <a:off x="0" y="0"/>
                      <a:ext cx="4960800" cy="3312000"/>
                    </a:xfrm>
                    <a:prstGeom prst="rect">
                      <a:avLst/>
                    </a:prstGeom>
                    <a:ln w="0">
                      <a:noFill/>
                    </a:ln>
                  </pic:spPr>
                </pic:pic>
              </a:graphicData>
            </a:graphic>
          </wp:inline>
        </w:drawing>
      </w:r>
      <w:r>
        <w:rPr>
          <w:b/>
          <w:bCs/>
          <w:color w:val="00274C"/>
          <w:sz w:val="20"/>
          <w:szCs w:val="20"/>
          <w:u w:val="none"/>
        </w:rPr>
        <w:br/>
        <w:br/>
        <w:t xml:space="preserve">图.</w:t>
      </w:r>
      <w:r>
        <w:rPr>
          <w:b/>
          <w:bCs/>
          <w:color w:val="00274C"/>
          <w:sz w:val="20"/>
          <w:szCs w:val="20"/>
          <w:u w:val="none"/>
        </w:rPr>
        <w:t xml:space="preserve">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699">
    <w:multiLevelType w:val="hybridMultilevel"/>
    <w:lvl w:ilvl="0" w:tplc="30166234">
      <w:start w:val="1"/>
      <w:numFmt w:val="decimal"/>
      <w:lvlText w:val="%1."/>
      <w:lvlJc w:val="left"/>
      <w:pPr>
        <w:ind w:left="720" w:hanging="360"/>
      </w:pPr>
    </w:lvl>
    <w:lvl w:ilvl="1" w:tplc="30166234" w:tentative="1">
      <w:start w:val="1"/>
      <w:numFmt w:val="lowerLetter"/>
      <w:lvlText w:val="%2."/>
      <w:lvlJc w:val="left"/>
      <w:pPr>
        <w:ind w:left="1440" w:hanging="360"/>
      </w:pPr>
    </w:lvl>
    <w:lvl w:ilvl="2" w:tplc="30166234" w:tentative="1">
      <w:start w:val="1"/>
      <w:numFmt w:val="lowerRoman"/>
      <w:lvlText w:val="%3."/>
      <w:lvlJc w:val="right"/>
      <w:pPr>
        <w:ind w:left="2160" w:hanging="180"/>
      </w:pPr>
    </w:lvl>
    <w:lvl w:ilvl="3" w:tplc="30166234" w:tentative="1">
      <w:start w:val="1"/>
      <w:numFmt w:val="decimal"/>
      <w:lvlText w:val="%4."/>
      <w:lvlJc w:val="left"/>
      <w:pPr>
        <w:ind w:left="2880" w:hanging="360"/>
      </w:pPr>
    </w:lvl>
    <w:lvl w:ilvl="4" w:tplc="30166234" w:tentative="1">
      <w:start w:val="1"/>
      <w:numFmt w:val="lowerLetter"/>
      <w:lvlText w:val="%5."/>
      <w:lvlJc w:val="left"/>
      <w:pPr>
        <w:ind w:left="3600" w:hanging="360"/>
      </w:pPr>
    </w:lvl>
    <w:lvl w:ilvl="5" w:tplc="30166234" w:tentative="1">
      <w:start w:val="1"/>
      <w:numFmt w:val="lowerRoman"/>
      <w:lvlText w:val="%6."/>
      <w:lvlJc w:val="right"/>
      <w:pPr>
        <w:ind w:left="4320" w:hanging="180"/>
      </w:pPr>
    </w:lvl>
    <w:lvl w:ilvl="6" w:tplc="30166234" w:tentative="1">
      <w:start w:val="1"/>
      <w:numFmt w:val="decimal"/>
      <w:lvlText w:val="%7."/>
      <w:lvlJc w:val="left"/>
      <w:pPr>
        <w:ind w:left="5040" w:hanging="360"/>
      </w:pPr>
    </w:lvl>
    <w:lvl w:ilvl="7" w:tplc="30166234" w:tentative="1">
      <w:start w:val="1"/>
      <w:numFmt w:val="lowerLetter"/>
      <w:lvlText w:val="%8."/>
      <w:lvlJc w:val="left"/>
      <w:pPr>
        <w:ind w:left="5760" w:hanging="360"/>
      </w:pPr>
    </w:lvl>
    <w:lvl w:ilvl="8" w:tplc="30166234" w:tentative="1">
      <w:start w:val="1"/>
      <w:numFmt w:val="lowerRoman"/>
      <w:lvlText w:val="%9."/>
      <w:lvlJc w:val="right"/>
      <w:pPr>
        <w:ind w:left="6480" w:hanging="180"/>
      </w:pPr>
    </w:lvl>
  </w:abstractNum>
  <w:abstractNum w:abstractNumId="24698">
    <w:multiLevelType w:val="hybridMultilevel"/>
    <w:lvl w:ilvl="0" w:tplc="331638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698">
    <w:abstractNumId w:val="24698"/>
  </w:num>
  <w:num w:numId="24699">
    <w:abstractNumId w:val="246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2951535" Type="http://schemas.openxmlformats.org/officeDocument/2006/relationships/comments" Target="comments.xml"/><Relationship Id="rId502064117" Type="http://schemas.microsoft.com/office/2011/relationships/commentsExtended" Target="commentsExtended.xml"/><Relationship Id="rId16824460" Type="http://schemas.openxmlformats.org/officeDocument/2006/relationships/image" Target="media/imgrId16824460.jpg"/><Relationship Id="rId19716a03369d7890d" Type="http://schemas.openxmlformats.org/officeDocument/2006/relationships/hyperlink" Target="https://iservice.lombardini.it/jsp/Template2/manuale.jsp?id=259&amp;parent=1136" TargetMode="External"/><Relationship Id="rId19646a03369d789ea" Type="http://schemas.openxmlformats.org/officeDocument/2006/relationships/hyperlink" Target="https://iservice.lombardini.it/jsp/Template2/manuale.jsp?id=260&amp;parent=1136" TargetMode="External"/><Relationship Id="rId77156a03369d792b0" Type="http://schemas.openxmlformats.org/officeDocument/2006/relationships/hyperlink" Target="https://iservice.lombardini.it/jsp/Template2/manuale.jsp?id=193&amp;parent=1000" TargetMode="External"/><Relationship Id="rId69656a03369d7942d" Type="http://schemas.openxmlformats.org/officeDocument/2006/relationships/hyperlink" Target="https://iservice.lombardini.it/jsp/Template2/manuale.jsp?id=193&amp;parent=1000" TargetMode="External"/><Relationship Id="rId77416a03369d794d6" Type="http://schemas.openxmlformats.org/officeDocument/2006/relationships/hyperlink" Target="https://iservice.lombardini.it/jsp/Template2/manuale.jsp?id=193&amp;parent=1000" TargetMode="External"/><Relationship Id="rId88626a03369d79b96" Type="http://schemas.openxmlformats.org/officeDocument/2006/relationships/hyperlink" Target="https://iservice.lombardini.it/jsp/Template2/manuale.jsp?id=282&amp;parent=1136" TargetMode="External"/><Relationship Id="rId88626a03369d79bee" Type="http://schemas.openxmlformats.org/officeDocument/2006/relationships/hyperlink" Target="https://iservice.lombardini.it/jsp/Template2/manuale.jsp?id=193&amp;parent=1000" TargetMode="External"/><Relationship Id="rId59666a03369d79ca2" Type="http://schemas.openxmlformats.org/officeDocument/2006/relationships/hyperlink" Target="https://iservice.lombardini.it/jsp/Template2/manuale.jsp?id=193&amp;parent=1000" TargetMode="External"/><Relationship Id="rId86586a03369e07fad" Type="http://schemas.openxmlformats.org/officeDocument/2006/relationships/hyperlink" Target="https://iservice.lombardini.it/jsp/Template2/manuale.jsp?id=341&amp;parent=1136" TargetMode="External"/><Relationship Id="rId94786a03369d8696e" Type="http://schemas.openxmlformats.org/officeDocument/2006/relationships/image" Target="media/imgrId94786a03369d8696e.jpg"/><Relationship Id="rId38356a03369d98194" Type="http://schemas.openxmlformats.org/officeDocument/2006/relationships/image" Target="media/imgrId38356a03369d98194.jpg"/><Relationship Id="rId67996a03369da1d92" Type="http://schemas.openxmlformats.org/officeDocument/2006/relationships/image" Target="media/imgrId67996a03369da1d92.jpg"/><Relationship Id="rId11856a03369da7c35" Type="http://schemas.openxmlformats.org/officeDocument/2006/relationships/image" Target="media/imgrId11856a03369da7c35.gif"/><Relationship Id="rId96376a03369daac7e" Type="http://schemas.openxmlformats.org/officeDocument/2006/relationships/image" Target="media/imgrId96376a03369daac7e.gif"/><Relationship Id="rId73386a03369dae930" Type="http://schemas.openxmlformats.org/officeDocument/2006/relationships/image" Target="media/imgrId73386a03369dae930.gif"/><Relationship Id="rId43476a03369db24f1" Type="http://schemas.openxmlformats.org/officeDocument/2006/relationships/image" Target="media/imgrId43476a03369db24f1.gif"/><Relationship Id="rId43506a03369dc0181" Type="http://schemas.openxmlformats.org/officeDocument/2006/relationships/image" Target="media/imgrId43506a03369dc0181.jpg"/><Relationship Id="rId98366a03369dcb9ea" Type="http://schemas.openxmlformats.org/officeDocument/2006/relationships/image" Target="media/imgrId98366a03369dcb9ea.jpg"/><Relationship Id="rId13096a03369dd873e" Type="http://schemas.openxmlformats.org/officeDocument/2006/relationships/image" Target="media/imgrId13096a03369dd873e.jpg"/><Relationship Id="rId92006a03369e07c22" Type="http://schemas.openxmlformats.org/officeDocument/2006/relationships/image" Target="media/imgrId92006a03369e07c22.jpg"/><Relationship Id="rId32276a03369e3cee9" Type="http://schemas.openxmlformats.org/officeDocument/2006/relationships/image" Target="media/imgrId32276a03369e3cee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824460" Type="http://schemas.openxmlformats.org/officeDocument/2006/relationships/image" Target="media/imgrId168244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