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10423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977046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5527898" w:name="ctxt"/>
    <w:bookmarkEnd w:id="95527898"/>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Nützliche Informationen</w:t>
      </w:r>
    </w:p>
    <w:p>
      <w:pPr>
        <w:numPr>
          <w:ilvl w:val="0"/>
          <w:numId w:val="15009"/>
        </w:numPr>
        <w:spacing w:before="0" w:after="0" w:line="240" w:lineRule="auto"/>
        <w:jc w:val="left"/>
        <w:rPr>
          <w:color w:val="00274C"/>
          <w:sz w:val="20"/>
          <w:szCs w:val="20"/>
        </w:rPr>
      </w:pPr>
      <w:r>
        <w:rPr>
          <w:color w:val="00274C"/>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15009"/>
        </w:numPr>
        <w:spacing w:before="0" w:after="0" w:line="240" w:lineRule="auto"/>
        <w:jc w:val="left"/>
        <w:rPr>
          <w:color w:val="00274C"/>
          <w:sz w:val="20"/>
          <w:szCs w:val="20"/>
        </w:rPr>
      </w:pPr>
      <w:r>
        <w:rPr>
          <w:color w:val="00274C"/>
          <w:sz w:val="20"/>
          <w:szCs w:val="20"/>
          <w:u w:val="none"/>
        </w:rPr>
        <w:t xml:space="preserve">Die im vorliegenden Handbuch enthaltenen Informationen, Beschreibungen und Abbildungen stellen den Stand der Technik des Motors zu dem Zeitpunkt dar, zu dem er auf den Markt gekommen ist ( </w:t>
      </w:r>
      <w:hyperlink r:id="rId50496a09f3100af18" w:history="1">
        <w:r>
          <w:rPr>
            <w:rStyle w:val="DefaultParagraphFontPHPDOCX"/>
            <w:b/>
            <w:bCs/>
            <w:color w:val="0000FF"/>
            <w:sz w:val="20"/>
            <w:szCs w:val="20"/>
            <w:u w:val="single" w:color=""/>
          </w:rPr>
          <w:t xml:space="preserve">Abs. 1.4</w:t>
        </w:r>
      </w:hyperlink>
      <w:r>
        <w:rPr>
          <w:color w:val="00274C"/>
          <w:sz w:val="20"/>
          <w:szCs w:val="20"/>
          <w:u w:val="none"/>
        </w:rPr>
        <w:t xml:space="preserve"> e </w:t>
      </w:r>
      <w:hyperlink r:id="rId42876a09f3100afda" w:history="1">
        <w:r>
          <w:rPr>
            <w:rStyle w:val="DefaultParagraphFontPHPDOCX"/>
            <w:b/>
            <w:bCs/>
            <w:color w:val="0000FF"/>
            <w:sz w:val="20"/>
            <w:szCs w:val="20"/>
            <w:u w:val="single" w:color=""/>
          </w:rPr>
          <w:t xml:space="preserve">Abs. 1.5</w:t>
        </w:r>
      </w:hyperlink>
      <w:r>
        <w:rPr>
          <w:color w:val="00274C"/>
          <w:sz w:val="20"/>
          <w:szCs w:val="20"/>
          <w:u w:val="none"/>
        </w:rPr>
        <w:t xml:space="preserve"> ).</w:t>
      </w:r>
    </w:p>
    <w:p>
      <w:pPr>
        <w:numPr>
          <w:ilvl w:val="0"/>
          <w:numId w:val="15009"/>
        </w:numPr>
        <w:spacing w:before="0" w:after="0" w:line="240" w:lineRule="auto"/>
        <w:jc w:val="left"/>
        <w:rPr>
          <w:color w:val="00274C"/>
          <w:sz w:val="20"/>
          <w:szCs w:val="20"/>
        </w:rPr>
      </w:pPr>
      <w:r>
        <w:rPr>
          <w:color w:val="00274C"/>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1500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behält sich das Recht vor, aus technischen oder wirtschaftlichen Gründen jederzeit Veränderungen an den Motoren vorzunehmen.</w:t>
      </w:r>
    </w:p>
    <w:p>
      <w:pPr>
        <w:numPr>
          <w:ilvl w:val="0"/>
          <w:numId w:val="15009"/>
        </w:numPr>
        <w:spacing w:before="0" w:after="0" w:line="240" w:lineRule="auto"/>
        <w:jc w:val="left"/>
        <w:rPr>
          <w:color w:val="00274C"/>
          <w:sz w:val="20"/>
          <w:szCs w:val="20"/>
        </w:rPr>
      </w:pPr>
      <w:r>
        <w:rPr>
          <w:color w:val="00274C"/>
          <w:sz w:val="20"/>
          <w:szCs w:val="20"/>
          <w:u w:val="none"/>
        </w:rPr>
        <w:t xml:space="preserve">Auf Grund dieser Veränderungen entsteht </w:t>
      </w:r>
      <w:r>
        <w:rPr>
          <w:b/>
          <w:bCs/>
          <w:color w:val="00274C"/>
          <w:sz w:val="20"/>
          <w:szCs w:val="20"/>
          <w:u w:val="none"/>
        </w:rPr>
        <w:t xml:space="preserve">KOHLER</w:t>
      </w:r>
      <w:r>
        <w:rPr>
          <w:color w:val="00274C"/>
          <w:sz w:val="20"/>
          <w:szCs w:val="20"/>
          <w:u w:val="none"/>
        </w:rPr>
        <w:t xml:space="preserve"> keinerlei Verpflichtung in die bisher vermarktete Produktion einzugreifen oder das vorliegende Dokument als unangemessen zu betrachten.</w:t>
      </w:r>
    </w:p>
    <w:p>
      <w:pPr>
        <w:numPr>
          <w:ilvl w:val="0"/>
          <w:numId w:val="15009"/>
        </w:numPr>
        <w:spacing w:before="0" w:after="0" w:line="240" w:lineRule="auto"/>
        <w:jc w:val="left"/>
        <w:rPr>
          <w:color w:val="00274C"/>
          <w:sz w:val="20"/>
          <w:szCs w:val="20"/>
        </w:rPr>
      </w:pPr>
      <w:r>
        <w:rPr>
          <w:color w:val="00274C"/>
          <w:sz w:val="20"/>
          <w:szCs w:val="20"/>
          <w:u w:val="none"/>
        </w:rPr>
        <w:t xml:space="preserve">Die Absätze, Tabellen und Abbildungen sind mit der Nummer des entsprechenden Kapitels versehen, gefolgt von der fortlaufenden Nummer von Absatz, Tabelle und/oder Abbildung.</w:t>
      </w:r>
    </w:p>
    <w:p>
      <w:pPr>
        <w:widowControl w:val="on"/>
        <w:pBdr/>
        <w:spacing w:before="0" w:after="0" w:line="262" w:lineRule="auto"/>
        <w:ind w:left="0" w:right="0"/>
        <w:jc w:val="left"/>
      </w:pPr>
      <w:r>
        <w:rPr>
          <w:color w:val="00274C"/>
          <w:sz w:val="20"/>
          <w:szCs w:val="20"/>
          <w:u w:val="none"/>
        </w:rPr>
        <w:t xml:space="preserve">Bsp: </w:t>
      </w:r>
      <w:r>
        <w:rPr>
          <w:b/>
          <w:bCs/>
          <w:color w:val="00274C"/>
          <w:sz w:val="20"/>
          <w:szCs w:val="20"/>
          <w:u w:val="none"/>
        </w:rPr>
        <w:t xml:space="preserve">Abs</w:t>
      </w:r>
      <w:r>
        <w:rPr>
          <w:color w:val="00274C"/>
          <w:sz w:val="20"/>
          <w:szCs w:val="20"/>
          <w:u w:val="none"/>
        </w:rPr>
        <w:t xml:space="preserve"> . </w:t>
      </w:r>
      <w:r>
        <w:rPr>
          <w:b/>
          <w:bCs/>
          <w:color w:val="00274C"/>
          <w:sz w:val="20"/>
          <w:szCs w:val="20"/>
          <w:u w:val="none"/>
        </w:rPr>
        <w:t xml:space="preserve">1.3 -</w:t>
      </w:r>
      <w:r>
        <w:rPr>
          <w:color w:val="00274C"/>
          <w:sz w:val="20"/>
          <w:szCs w:val="20"/>
          <w:u w:val="none"/>
        </w:rPr>
        <w:t xml:space="preserve"> Kapitel </w:t>
      </w:r>
      <w:r>
        <w:rPr>
          <w:b/>
          <w:bCs/>
          <w:color w:val="00274C"/>
          <w:sz w:val="20"/>
          <w:szCs w:val="20"/>
          <w:u w:val="none"/>
        </w:rPr>
        <w:t xml:space="preserve">1</w:t>
      </w:r>
      <w:r>
        <w:rPr>
          <w:color w:val="00274C"/>
          <w:sz w:val="20"/>
          <w:szCs w:val="20"/>
          <w:u w:val="none"/>
        </w:rPr>
        <w:t xml:space="preserve"> Absatz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w:t>
      </w:r>
      <w:r>
        <w:rPr>
          <w:color w:val="00274C"/>
          <w:sz w:val="20"/>
          <w:szCs w:val="20"/>
          <w:u w:val="none"/>
        </w:rPr>
        <w:t xml:space="preserve"> . </w:t>
      </w:r>
      <w:r>
        <w:rPr>
          <w:b/>
          <w:bCs/>
          <w:color w:val="00274C"/>
          <w:sz w:val="20"/>
          <w:szCs w:val="20"/>
          <w:u w:val="none"/>
        </w:rPr>
        <w:t xml:space="preserve">2.4</w:t>
      </w:r>
      <w:r>
        <w:rPr>
          <w:color w:val="00274C"/>
          <w:sz w:val="20"/>
          <w:szCs w:val="20"/>
          <w:u w:val="none"/>
        </w:rPr>
        <w:t xml:space="preserve"> - Kapitel </w:t>
      </w:r>
      <w:r>
        <w:rPr>
          <w:b/>
          <w:bCs/>
          <w:color w:val="00274C"/>
          <w:sz w:val="20"/>
          <w:szCs w:val="20"/>
          <w:u w:val="none"/>
        </w:rPr>
        <w:t xml:space="preserve">2</w:t>
      </w:r>
      <w:r>
        <w:rPr>
          <w:color w:val="00274C"/>
          <w:sz w:val="20"/>
          <w:szCs w:val="20"/>
          <w:u w:val="none"/>
        </w:rPr>
        <w:t xml:space="preserve"> Tabelle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Abb</w:t>
      </w:r>
      <w:r>
        <w:rPr>
          <w:color w:val="00274C"/>
          <w:sz w:val="20"/>
          <w:szCs w:val="20"/>
          <w:u w:val="none"/>
        </w:rPr>
        <w:t xml:space="preserve"> . </w:t>
      </w:r>
      <w:r>
        <w:rPr>
          <w:b/>
          <w:bCs/>
          <w:color w:val="00274C"/>
          <w:sz w:val="20"/>
          <w:szCs w:val="20"/>
          <w:u w:val="none"/>
        </w:rPr>
        <w:t xml:space="preserve">4.5</w:t>
      </w:r>
      <w:r>
        <w:rPr>
          <w:color w:val="00274C"/>
          <w:sz w:val="20"/>
          <w:szCs w:val="20"/>
          <w:u w:val="none"/>
        </w:rPr>
        <w:t xml:space="preserve"> - Kapitel </w:t>
      </w:r>
      <w:r>
        <w:rPr>
          <w:b/>
          <w:bCs/>
          <w:color w:val="00274C"/>
          <w:sz w:val="20"/>
          <w:szCs w:val="20"/>
          <w:u w:val="none"/>
        </w:rPr>
        <w:t xml:space="preserve">4</w:t>
      </w:r>
      <w:r>
        <w:rPr>
          <w:color w:val="00274C"/>
          <w:sz w:val="20"/>
          <w:szCs w:val="20"/>
          <w:u w:val="none"/>
        </w:rPr>
        <w:t xml:space="preserve"> Abbildung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 Die folgenden Absätze können in Unterabsätze gegliedert sein.</w:t>
      </w:r>
    </w:p>
    <w:p>
      <w:pPr>
        <w:widowControl w:val="on"/>
        <w:pBdr/>
        <w:spacing w:before="0" w:after="0" w:line="262" w:lineRule="auto"/>
        <w:ind w:left="0" w:right="0"/>
        <w:jc w:val="left"/>
      </w:pPr>
      <w:r>
        <w:rPr>
          <w:color w:val="00274C"/>
          <w:sz w:val="20"/>
          <w:szCs w:val="20"/>
          <w:u w:val="none"/>
        </w:rPr>
        <w:t xml:space="preserve"> </w:t>
      </w:r>
    </w:p>
    <w:p>
      <w:pPr>
        <w:numPr>
          <w:ilvl w:val="0"/>
          <w:numId w:val="15009"/>
        </w:numPr>
        <w:spacing w:before="0" w:after="0" w:line="240" w:lineRule="auto"/>
        <w:jc w:val="left"/>
        <w:rPr>
          <w:color w:val="00274C"/>
          <w:sz w:val="20"/>
          <w:szCs w:val="20"/>
        </w:rPr>
      </w:pPr>
      <w:r>
        <w:rPr>
          <w:color w:val="00274C"/>
          <w:sz w:val="20"/>
          <w:szCs w:val="20"/>
          <w:u w:val="none"/>
        </w:rPr>
        <w:t xml:space="preserve">Abbildungen oder Absätze. Alle Fachbegriffe, speziellen Bauteile und Symbole </w:t>
      </w:r>
      <w:r>
        <w:rPr>
          <w:b/>
          <w:bCs/>
          <w:color w:val="00274C"/>
          <w:sz w:val="20"/>
          <w:szCs w:val="20"/>
          <w:u w:val="none"/>
        </w:rPr>
        <w:t xml:space="preserve">( </w:t>
      </w:r>
      <w:hyperlink r:id="rId46806a09f3100bf5c"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die im Handbuch vorkommen, sind im Glossar aufgelistet und erklärt, das im </w:t>
      </w:r>
      <w:hyperlink r:id="rId56766a09f3100c04d" w:history="1">
        <w:r>
          <w:rPr>
            <w:rStyle w:val="DefaultParagraphFontPHPDOCX"/>
            <w:b/>
            <w:bCs/>
            <w:color w:val="0000FF"/>
            <w:sz w:val="20"/>
            <w:szCs w:val="20"/>
            <w:u w:val="single" w:color=""/>
          </w:rPr>
          <w:t xml:space="preserve">Kap. 15</w:t>
        </w:r>
      </w:hyperlink>
      <w:r>
        <w:rPr>
          <w:color w:val="00274C"/>
          <w:sz w:val="20"/>
          <w:szCs w:val="20"/>
          <w:u w:val="none"/>
        </w:rPr>
        <w:t xml:space="preserve"> abgedruckt ist.</w:t>
      </w:r>
    </w:p>
    <w:p>
      <w:pPr>
        <w:numPr>
          <w:ilvl w:val="0"/>
          <w:numId w:val="15009"/>
        </w:numPr>
        <w:spacing w:before="0" w:after="0" w:line="240" w:lineRule="auto"/>
        <w:jc w:val="left"/>
        <w:rPr>
          <w:color w:val="00274C"/>
          <w:sz w:val="20"/>
          <w:szCs w:val="20"/>
        </w:rPr>
      </w:pPr>
      <w:r>
        <w:rPr>
          <w:color w:val="00274C"/>
          <w:sz w:val="20"/>
          <w:szCs w:val="20"/>
          <w:u w:val="none"/>
        </w:rPr>
        <w:t xml:space="preserve">Die Bezüge auf die im Text und den Abbildungen beschriebenen Objekte werden mit Buchstaben und Nummern angegeben, die sich immer einzig und alleine auf den Absatz beziehen, in dem sie enthalten sind, außer im Fall von Verweisen auf andere Abbildungen oder Absätze.</w:t>
      </w:r>
    </w:p>
    <w:p>
      <w:pPr>
        <w:numPr>
          <w:ilvl w:val="0"/>
          <w:numId w:val="15009"/>
        </w:numPr>
        <w:spacing w:before="0" w:after="0" w:line="240" w:lineRule="auto"/>
        <w:jc w:val="left"/>
        <w:rPr>
          <w:color w:val="00274C"/>
          <w:sz w:val="20"/>
          <w:szCs w:val="20"/>
        </w:rPr>
      </w:pPr>
      <w:r>
        <w:rPr>
          <w:color w:val="00274C"/>
          <w:sz w:val="20"/>
          <w:szCs w:val="20"/>
          <w:u w:val="none"/>
        </w:rPr>
        <w:t xml:space="preserve">Bezugspunkte für Größen sind mit Buchstaben oder Zahlen angegeben </w:t>
      </w:r>
      <w:r>
        <w:rPr>
          <w:b/>
          <w:bCs/>
          <w:color w:val="00274C"/>
          <w:sz w:val="20"/>
          <w:szCs w:val="20"/>
          <w:u w:val="none"/>
        </w:rPr>
        <w:t xml:space="preserve">.</w:t>
      </w:r>
    </w:p>
    <w:p>
      <w:pPr>
        <w:numPr>
          <w:ilvl w:val="0"/>
          <w:numId w:val="15009"/>
        </w:numPr>
        <w:spacing w:before="0" w:after="0" w:line="240" w:lineRule="auto"/>
        <w:jc w:val="left"/>
        <w:rPr>
          <w:color w:val="00274C"/>
          <w:sz w:val="20"/>
          <w:szCs w:val="20"/>
        </w:rPr>
      </w:pPr>
      <w:r>
        <w:rPr>
          <w:color w:val="00274C"/>
          <w:sz w:val="20"/>
          <w:szCs w:val="20"/>
          <w:u w:val="none"/>
        </w:rPr>
        <w:t xml:space="preserve">Des Zeichens ( </w:t>
      </w:r>
      <w:r>
        <w:drawing>
          <wp:inline distT="0" distB="0" distL="0" distR="0">
            <wp:extent cx="158400" cy="115200"/>
            <wp:effectExtent b="0" l="0" r="0" t="0"/>
            <wp:docPr id="55576799" name="name83206a09f31012659"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69016a09f31012656"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nach einer Abschnittsüberschrift; es zeigt an, dass dieser Vorgang zum Ausbau des Motors nicht notwendig ist, diese Vorgänge aber gezeigt werden, um den Ausbau der Bestandteile zu illustrieren.</w:t>
      </w:r>
    </w:p>
    <w:p>
      <w:pPr>
        <w:numPr>
          <w:ilvl w:val="0"/>
          <w:numId w:val="15009"/>
        </w:numPr>
        <w:spacing w:before="0" w:after="0" w:line="240" w:lineRule="auto"/>
        <w:jc w:val="left"/>
        <w:rPr>
          <w:color w:val="00274C"/>
          <w:sz w:val="20"/>
          <w:szCs w:val="20"/>
        </w:rPr>
      </w:pPr>
      <w:r>
        <w:rPr>
          <w:color w:val="00274C"/>
          <w:sz w:val="20"/>
          <w:szCs w:val="20"/>
          <w:u w:val="none"/>
        </w:rPr>
        <w:t xml:space="preserve">Etwaige Ergänzungen, die von </w:t>
      </w:r>
      <w:r>
        <w:rPr>
          <w:b/>
          <w:bCs/>
          <w:color w:val="00274C"/>
          <w:sz w:val="20"/>
          <w:szCs w:val="20"/>
          <w:u w:val="none"/>
        </w:rPr>
        <w:t xml:space="preserve">KOHLER</w:t>
      </w:r>
      <w:r>
        <w:rPr>
          <w:color w:val="00274C"/>
          <w:sz w:val="20"/>
          <w:szCs w:val="20"/>
          <w:u w:val="none"/>
        </w:rPr>
        <w:t xml:space="preserve"> zu einem späteren Zeitpunkt geliefert werden, sind gemeinsam mit dem Handbuch aufzubewahren und als integrierender Bestandteil desselben zu betrachten.</w:t>
      </w:r>
    </w:p>
    <w:p>
      <w:pPr>
        <w:numPr>
          <w:ilvl w:val="0"/>
          <w:numId w:val="15009"/>
        </w:numPr>
        <w:spacing w:before="0" w:after="0" w:line="240" w:lineRule="auto"/>
        <w:jc w:val="left"/>
        <w:rPr>
          <w:color w:val="00274C"/>
          <w:sz w:val="20"/>
          <w:szCs w:val="20"/>
        </w:rPr>
      </w:pPr>
      <w:r>
        <w:rPr>
          <w:color w:val="00274C"/>
          <w:sz w:val="20"/>
          <w:szCs w:val="20"/>
          <w:u w:val="none"/>
        </w:rPr>
        <w:t xml:space="preserve">Die hier angeführten Informationen sind exklusives Eigentum von </w:t>
      </w:r>
      <w:r>
        <w:rPr>
          <w:b/>
          <w:bCs/>
          <w:color w:val="00274C"/>
          <w:sz w:val="20"/>
          <w:szCs w:val="20"/>
          <w:u w:val="none"/>
        </w:rPr>
        <w:t xml:space="preserve">KOHLER</w:t>
      </w:r>
      <w:r>
        <w:rPr>
          <w:color w:val="00274C"/>
          <w:sz w:val="20"/>
          <w:szCs w:val="20"/>
          <w:u w:val="none"/>
        </w:rPr>
        <w:t xml:space="preserve"> , und somit sind ohne ausdrückliche Zustimmung von </w:t>
      </w:r>
      <w:r>
        <w:rPr>
          <w:b/>
          <w:bCs/>
          <w:color w:val="00274C"/>
          <w:sz w:val="20"/>
          <w:szCs w:val="20"/>
          <w:u w:val="none"/>
        </w:rPr>
        <w:t xml:space="preserve">KOHLER</w:t>
      </w:r>
      <w:r>
        <w:rPr>
          <w:color w:val="00274C"/>
          <w:sz w:val="20"/>
          <w:szCs w:val="20"/>
          <w:u w:val="none"/>
        </w:rPr>
        <w:t xml:space="preserve"> keine Kopien oder Nachdrucke, weder auszugsweise noch des gesamten Dokuments, gestattet.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Nützliche Informationen über: Sicherheit - Unfallverhütung - Umweltverträglichkeit</w:t>
      </w:r>
    </w:p>
    <w:p>
      <w:pPr>
        <w:widowControl w:val="on"/>
        <w:pBdr/>
        <w:spacing w:before="0" w:after="0" w:line="262" w:lineRule="auto"/>
        <w:ind w:left="0" w:right="0"/>
        <w:jc w:val="left"/>
      </w:pPr>
      <w:r>
        <w:rPr>
          <w:b/>
          <w:bCs/>
          <w:color w:val="00274C"/>
          <w:sz w:val="20"/>
          <w:szCs w:val="20"/>
          <w:u w:val="none"/>
        </w:rPr>
        <w:t xml:space="preserve"> </w:t>
      </w:r>
    </w:p>
    <w:p>
      <w:pPr>
        <w:numPr>
          <w:ilvl w:val="0"/>
          <w:numId w:val="15009"/>
        </w:numPr>
        <w:spacing w:before="0" w:after="0" w:line="240" w:lineRule="auto"/>
        <w:jc w:val="left"/>
        <w:rPr>
          <w:color w:val="00274C"/>
          <w:sz w:val="20"/>
          <w:szCs w:val="20"/>
        </w:rPr>
      </w:pPr>
      <w:r>
        <w:rPr>
          <w:color w:val="00274C"/>
          <w:sz w:val="20"/>
          <w:szCs w:val="20"/>
          <w:u w:val="none"/>
        </w:rPr>
        <w:t xml:space="preserve">Vor Beginn der Reparatur - des Handlings des Motors muss das ganze </w:t>
      </w:r>
      <w:hyperlink r:id="rId74286a09f31012e08" w:history="1">
        <w:r>
          <w:rPr>
            <w:rStyle w:val="DefaultParagraphFontPHPDOCX"/>
            <w:b/>
            <w:bCs/>
            <w:color w:val="0000FF"/>
            <w:sz w:val="20"/>
            <w:szCs w:val="20"/>
            <w:u w:val="none"/>
          </w:rPr>
          <w:t xml:space="preserve">Kap. 3</w:t>
        </w:r>
      </w:hyperlink>
      <w:r>
        <w:rPr>
          <w:color w:val="00274C"/>
          <w:sz w:val="20"/>
          <w:szCs w:val="20"/>
          <w:u w:val="none"/>
        </w:rPr>
        <w:t xml:space="preserve"> gelesen werden, das wichtige Informationen über die Verfahren enthält, die für die Sicherheit und die Umweltverträglichkeit eingehalten werden müssen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6841211" name="name23826a09f31022a4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5146a09f31022a42"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9306936" name="name41576a09f3103533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1426a09f3103533b"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6108027" name="name17036a09f3104180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3826a09f31041807"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1.2</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4096881" name="name88956a09f3104d47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0396a09f3104d472"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1.3</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wichtigsten internen Motorkomponenten und Hinweise zur Funktion (GRUNDAUSSTATTUNG)</w:t>
      </w:r>
    </w:p>
    <w:p>
      <w:pPr>
        <w:widowControl w:val="on"/>
        <w:pBdr/>
        <w:spacing w:before="0" w:after="0" w:line="262" w:lineRule="auto"/>
        <w:ind w:left="0" w:right="0"/>
        <w:jc w:val="left"/>
      </w:pPr>
      <w:r>
        <w:rPr>
          <w:b/>
          <w:bCs/>
          <w:color w:val="00274C"/>
          <w:sz w:val="20"/>
          <w:szCs w:val="20"/>
          <w:u w:val="none"/>
        </w:rPr>
        <w:t xml:space="preserve">ANSICHT AUSPUFFSEITE</w:t>
      </w:r>
    </w:p>
    <w:p>
      <w:pPr>
        <w:widowControl w:val="on"/>
        <w:pBdr/>
        <w:spacing w:before="225" w:after="225" w:line="262" w:lineRule="auto"/>
        <w:ind w:left="0" w:right="0"/>
        <w:jc w:val="left"/>
      </w:pPr>
      <w:r>
        <w:drawing>
          <wp:inline distT="0" distB="0" distL="0" distR="0">
            <wp:extent cx="4932000" cy="3196800"/>
            <wp:effectExtent b="0" l="0" r="0" t="0"/>
            <wp:docPr id="59061364" name="name87926a09f31056d14"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14476a09f31056d12"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den folgenden Kapiteln werden bei der Funktionsbeschreibung Bezugspunkte angegeben, damit deren Lage am Motor eindeutig ist. In diesem Absatz werden diese Bezugspunkte an einigen internen Hauptkomponenten gezeigt.</w:t>
            </w:r>
            <w:r>
              <w:rPr>
                <w:color w:val="00274C"/>
                <w:position w:val="-2"/>
                <w:sz w:val="20"/>
                <w:szCs w:val="20"/>
                <w:u w:val="none"/>
              </w:rPr>
              <w:br/>
              <w:br/>
              <w:t xml:space="preserve">Schlagen Sie bei Bedarf immer in diesem Absatz nach, wenn Sie komplizierte Tätigkeiten ausführen.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9558503" name="name31366a09f3105a71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6706a09f3105a71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Verteilerseite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71462715" name="name92386a09f3105e27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7596a09f3105e27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Schwungradseite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4912369" name="name73176a09f3106084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1816a09f3106084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Auspuffseite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4657761" name="name16526a09f3106325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4886a09f3106325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Ansaugseite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4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Verteilerzahnräder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Zahnräder Vorbereitung 3./4. Zapfwelle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ANSICHY SCHWUNGRADSEITE</w:t>
      </w:r>
      <w:r>
        <w:drawing>
          <wp:inline distT="0" distB="0" distL="0" distR="0">
            <wp:extent cx="4932000" cy="3376800"/>
            <wp:effectExtent b="0" l="0" r="0" t="0"/>
            <wp:docPr id="82129554" name="name62786a09f3106a14b"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31746a09f3106a148"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Abb. 1.6</w:t>
      </w:r>
    </w:p>
    <w:p>
      <w:pPr>
        <w:widowControl w:val="on"/>
        <w:pBdr/>
        <w:spacing w:before="225" w:after="225" w:line="262" w:lineRule="auto"/>
        <w:ind w:left="0" w:right="0"/>
        <w:jc w:val="left"/>
      </w:pPr>
      <w:r>
        <w:rPr>
          <w:b/>
          <w:bCs/>
          <w:color w:val="00274C"/>
          <w:sz w:val="20"/>
          <w:szCs w:val="20"/>
          <w:u w:val="none"/>
        </w:rPr>
        <w:br/>
        <w:t xml:space="preserve">ANSICHY</w:t>
      </w:r>
      <w:r>
        <w:rPr>
          <w:b/>
          <w:bCs/>
          <w:color w:val="00274C"/>
          <w:sz w:val="20"/>
          <w:szCs w:val="20"/>
          <w:u w:val="none"/>
        </w:rPr>
        <w:t xml:space="preserve"> VERTEILERSEITEE</w:t>
      </w:r>
      <w:r>
        <w:drawing>
          <wp:inline distT="0" distB="0" distL="0" distR="0">
            <wp:extent cx="4932000" cy="3376800"/>
            <wp:effectExtent b="0" l="0" r="0" t="0"/>
            <wp:docPr id="5019303" name="name33646a09f31071546"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68726a09f31071543"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externen Motorkomponenten (GRUNDAUSSTATTUNG)</w:t>
      </w:r>
    </w:p>
    <w:p>
      <w:pPr>
        <w:widowControl w:val="on"/>
        <w:pBdr/>
        <w:spacing w:before="225" w:after="225" w:line="262" w:lineRule="auto"/>
        <w:ind w:left="0" w:right="0"/>
        <w:jc w:val="left"/>
      </w:pPr>
      <w:r>
        <w:rPr>
          <w:b/>
          <w:bCs/>
          <w:color w:val="00274C"/>
          <w:sz w:val="20"/>
          <w:szCs w:val="20"/>
          <w:u w:val="none"/>
        </w:rPr>
        <w:t xml:space="preserve">ANSICHT VON DER VERTEILERSEITE - AUSPUFF</w:t>
      </w:r>
      <w:r>
        <w:drawing>
          <wp:inline distT="0" distB="0" distL="0" distR="0">
            <wp:extent cx="5544000" cy="3600000"/>
            <wp:effectExtent b="0" l="0" r="0" t="0"/>
            <wp:docPr id="86706256" name="name77876a09f3107e639"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82516a09f3107e63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Abb.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ANSICHT VON DER SCHWUNGRADSEITE - ANSAUGUNG</w:t>
      </w:r>
      <w:r>
        <w:drawing>
          <wp:inline distT="0" distB="0" distL="0" distR="0">
            <wp:extent cx="5544000" cy="3787200"/>
            <wp:effectExtent b="0" l="0" r="0" t="0"/>
            <wp:docPr id="46037037" name="name38256a09f3108e342"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87816a09f3108e340"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diesem Absatz werden alle externen Komponenten gezeigt, die in der Grundausstattung am Motor vorhanden sind.</w:t>
            </w:r>
            <w:r>
              <w:rPr>
                <w:color w:val="00274C"/>
                <w:position w:val="-2"/>
                <w:sz w:val="20"/>
                <w:szCs w:val="20"/>
                <w:u w:val="none"/>
              </w:rPr>
              <w:br/>
              <w:t xml:space="preserve">Zu am Motor vorhandenen Bauteilen, die nicht auf diesen Abbildungen gezeigt sind, bitte </w:t>
            </w:r>
            <w:hyperlink r:id="rId91916a09f3108e7d0" w:history="1">
              <w:r>
                <w:rPr>
                  <w:rStyle w:val="DefaultParagraphFontPHPDOCX"/>
                  <w:b/>
                  <w:bCs/>
                  <w:color w:val="0000FF"/>
                  <w:position w:val="-2"/>
                  <w:sz w:val="20"/>
                  <w:szCs w:val="20"/>
                  <w:u w:val="none"/>
                </w:rPr>
                <w:t xml:space="preserve">Kap. 11</w:t>
              </w:r>
            </w:hyperlink>
            <w:r>
              <w:rPr>
                <w:color w:val="00274C"/>
                <w:position w:val="-2"/>
                <w:sz w:val="20"/>
                <w:szCs w:val="20"/>
                <w:u w:val="none"/>
              </w:rPr>
              <w:t xml:space="preserve"> beachten.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ANMERKUNG:</w:t>
            </w:r>
            <w:r>
              <w:rPr>
                <w:color w:val="00274C"/>
                <w:position w:val="0"/>
                <w:sz w:val="20"/>
                <w:szCs w:val="20"/>
                <w:u w:val="none"/>
              </w:rPr>
              <w:t xml:space="preserve"> Die beschriebenen Komponenten können von den in der Abbildung gezeigten abweichen, die Abbildung dient nur zur Orientierung.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Steuereinheit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Kennschild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Seitlicher Öleinfülldeckel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Katalysator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Stelleinrichtung Wastegate-Ventil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Flanschglocke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Luftansaugung</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ANSICHT VON OBEN</w:t>
      </w:r>
      <w:r>
        <w:drawing>
          <wp:inline distT="0" distB="0" distL="0" distR="0">
            <wp:extent cx="5544000" cy="3787200"/>
            <wp:effectExtent b="0" l="0" r="0" t="0"/>
            <wp:docPr id="60553525" name="name20266a09f310a3e82"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49796a09f310a3e7f"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mit DOC-Filter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kann anders als in der Abbildung dargestellt montiert werden.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14993504" name="name69016a09f310ae283"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44466a09f310ae280"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Gasablassflansch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Ablassrohrleitung</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mit DOC + DPF-Filter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mit DPF-Filter und DOC-Filter ist nur bei den Versionen vorhanden, die die Abgasnorm „Stufe V“ erfüllen.</w:t>
            </w:r>
          </w:p>
          <w:p>
            <w:pPr>
              <w:widowControl w:val="on"/>
              <w:pBdr/>
              <w:spacing w:before="0" w:after="0" w:line="262" w:lineRule="auto"/>
              <w:ind w:left="0" w:right="0"/>
              <w:jc w:val="left"/>
              <w:textAlignment w:val="center"/>
            </w:pPr>
            <w:r>
              <w:rPr>
                <w:color w:val="00274C"/>
                <w:position w:val="-2"/>
                <w:sz w:val="20"/>
                <w:szCs w:val="20"/>
                <w:u w:val="none"/>
              </w:rPr>
              <w:t xml:space="preserve">Das ATS-System kann anders als in der Abbildung dargestellt montiert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90776765" name="name49226a09f310bc806"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0206a09f310bc803"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010">
    <w:multiLevelType w:val="hybridMultilevel"/>
    <w:lvl w:ilvl="0" w:tplc="27689085">
      <w:start w:val="1"/>
      <w:numFmt w:val="decimal"/>
      <w:lvlText w:val="%1."/>
      <w:lvlJc w:val="left"/>
      <w:pPr>
        <w:ind w:left="720" w:hanging="360"/>
      </w:pPr>
    </w:lvl>
    <w:lvl w:ilvl="1" w:tplc="27689085" w:tentative="1">
      <w:start w:val="1"/>
      <w:numFmt w:val="lowerLetter"/>
      <w:lvlText w:val="%2."/>
      <w:lvlJc w:val="left"/>
      <w:pPr>
        <w:ind w:left="1440" w:hanging="360"/>
      </w:pPr>
    </w:lvl>
    <w:lvl w:ilvl="2" w:tplc="27689085" w:tentative="1">
      <w:start w:val="1"/>
      <w:numFmt w:val="lowerRoman"/>
      <w:lvlText w:val="%3."/>
      <w:lvlJc w:val="right"/>
      <w:pPr>
        <w:ind w:left="2160" w:hanging="180"/>
      </w:pPr>
    </w:lvl>
    <w:lvl w:ilvl="3" w:tplc="27689085" w:tentative="1">
      <w:start w:val="1"/>
      <w:numFmt w:val="decimal"/>
      <w:lvlText w:val="%4."/>
      <w:lvlJc w:val="left"/>
      <w:pPr>
        <w:ind w:left="2880" w:hanging="360"/>
      </w:pPr>
    </w:lvl>
    <w:lvl w:ilvl="4" w:tplc="27689085" w:tentative="1">
      <w:start w:val="1"/>
      <w:numFmt w:val="lowerLetter"/>
      <w:lvlText w:val="%5."/>
      <w:lvlJc w:val="left"/>
      <w:pPr>
        <w:ind w:left="3600" w:hanging="360"/>
      </w:pPr>
    </w:lvl>
    <w:lvl w:ilvl="5" w:tplc="27689085" w:tentative="1">
      <w:start w:val="1"/>
      <w:numFmt w:val="lowerRoman"/>
      <w:lvlText w:val="%6."/>
      <w:lvlJc w:val="right"/>
      <w:pPr>
        <w:ind w:left="4320" w:hanging="180"/>
      </w:pPr>
    </w:lvl>
    <w:lvl w:ilvl="6" w:tplc="27689085" w:tentative="1">
      <w:start w:val="1"/>
      <w:numFmt w:val="decimal"/>
      <w:lvlText w:val="%7."/>
      <w:lvlJc w:val="left"/>
      <w:pPr>
        <w:ind w:left="5040" w:hanging="360"/>
      </w:pPr>
    </w:lvl>
    <w:lvl w:ilvl="7" w:tplc="27689085" w:tentative="1">
      <w:start w:val="1"/>
      <w:numFmt w:val="lowerLetter"/>
      <w:lvlText w:val="%8."/>
      <w:lvlJc w:val="left"/>
      <w:pPr>
        <w:ind w:left="5760" w:hanging="360"/>
      </w:pPr>
    </w:lvl>
    <w:lvl w:ilvl="8" w:tplc="27689085" w:tentative="1">
      <w:start w:val="1"/>
      <w:numFmt w:val="lowerRoman"/>
      <w:lvlText w:val="%9."/>
      <w:lvlJc w:val="right"/>
      <w:pPr>
        <w:ind w:left="6480" w:hanging="180"/>
      </w:pPr>
    </w:lvl>
  </w:abstractNum>
  <w:abstractNum w:abstractNumId="15009">
    <w:multiLevelType w:val="hybridMultilevel"/>
    <w:lvl w:ilvl="0" w:tplc="14998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009">
    <w:abstractNumId w:val="15009"/>
  </w:num>
  <w:num w:numId="15010">
    <w:abstractNumId w:val="15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96689284" Type="http://schemas.openxmlformats.org/officeDocument/2006/relationships/comments" Target="comments.xml"/><Relationship Id="rId662257674" Type="http://schemas.microsoft.com/office/2011/relationships/commentsExtended" Target="commentsExtended.xml"/><Relationship Id="rId19770469" Type="http://schemas.openxmlformats.org/officeDocument/2006/relationships/image" Target="media/imgrId19770469.jpg"/><Relationship Id="rId50496a09f3100af18" Type="http://schemas.openxmlformats.org/officeDocument/2006/relationships/hyperlink" Target="https://iservice.lombardini.it/jsp/Template2/manuale.jsp?id=96&amp;parent=1000" TargetMode="External"/><Relationship Id="rId42876a09f3100afda" Type="http://schemas.openxmlformats.org/officeDocument/2006/relationships/hyperlink" Target="https://iservice.lombardini.it/jsp/Template2/manuale.jsp?id=97&amp;parent=1000" TargetMode="External"/><Relationship Id="rId46806a09f3100bf5c" Type="http://schemas.openxmlformats.org/officeDocument/2006/relationships/hyperlink" Target="https://iservice.lombardini.it/jsp/Template2/manuale.jsp?id=193&amp;parent=1000" TargetMode="External"/><Relationship Id="rId56766a09f3100c04d" Type="http://schemas.openxmlformats.org/officeDocument/2006/relationships/hyperlink" Target="https://iservice.lombardini.it/jsp/Template2/manuale.jsp?id=193&amp;parent=1000" TargetMode="External"/><Relationship Id="rId74286a09f31012e08" Type="http://schemas.openxmlformats.org/officeDocument/2006/relationships/hyperlink" Target="https://iservice.lombardini.it/jsp/Template2/manuale.jsp?id=114&amp;parent=1000" TargetMode="External"/><Relationship Id="rId91916a09f3108e7d0" Type="http://schemas.openxmlformats.org/officeDocument/2006/relationships/hyperlink" Target="https://iservice.lombardini.it/jsp/Template2/manuale.jsp?id=176&amp;parent=1000" TargetMode="External"/><Relationship Id="rId69016a09f31012656" Type="http://schemas.openxmlformats.org/officeDocument/2006/relationships/image" Target="media/imgrId69016a09f31012656.gif"/><Relationship Id="rId85146a09f31022a42" Type="http://schemas.openxmlformats.org/officeDocument/2006/relationships/image" Target="media/imgrId85146a09f31022a42.png"/><Relationship Id="rId71426a09f3103533b" Type="http://schemas.openxmlformats.org/officeDocument/2006/relationships/image" Target="media/imgrId71426a09f3103533b.png"/><Relationship Id="rId83826a09f31041807" Type="http://schemas.openxmlformats.org/officeDocument/2006/relationships/image" Target="media/imgrId83826a09f31041807.png"/><Relationship Id="rId50396a09f3104d472" Type="http://schemas.openxmlformats.org/officeDocument/2006/relationships/image" Target="media/imgrId50396a09f3104d472.png"/><Relationship Id="rId14476a09f31056d12" Type="http://schemas.openxmlformats.org/officeDocument/2006/relationships/image" Target="media/imgrId14476a09f31056d12.jpg"/><Relationship Id="rId46706a09f3105a719" Type="http://schemas.openxmlformats.org/officeDocument/2006/relationships/image" Target="media/imgrId46706a09f3105a719.gif"/><Relationship Id="rId77596a09f3105e271" Type="http://schemas.openxmlformats.org/officeDocument/2006/relationships/image" Target="media/imgrId77596a09f3105e271.gif"/><Relationship Id="rId41816a09f31060842" Type="http://schemas.openxmlformats.org/officeDocument/2006/relationships/image" Target="media/imgrId41816a09f31060842.gif"/><Relationship Id="rId34886a09f31063256" Type="http://schemas.openxmlformats.org/officeDocument/2006/relationships/image" Target="media/imgrId34886a09f31063256.gif"/><Relationship Id="rId31746a09f3106a148" Type="http://schemas.openxmlformats.org/officeDocument/2006/relationships/image" Target="media/imgrId31746a09f3106a148.jpg"/><Relationship Id="rId68726a09f31071543" Type="http://schemas.openxmlformats.org/officeDocument/2006/relationships/image" Target="media/imgrId68726a09f31071543.jpg"/><Relationship Id="rId82516a09f3107e636" Type="http://schemas.openxmlformats.org/officeDocument/2006/relationships/image" Target="media/imgrId82516a09f3107e636.png"/><Relationship Id="rId87816a09f3108e340" Type="http://schemas.openxmlformats.org/officeDocument/2006/relationships/image" Target="media/imgrId87816a09f3108e340.png"/><Relationship Id="rId49796a09f310a3e7f" Type="http://schemas.openxmlformats.org/officeDocument/2006/relationships/image" Target="media/imgrId49796a09f310a3e7f.png"/><Relationship Id="rId44466a09f310ae280" Type="http://schemas.openxmlformats.org/officeDocument/2006/relationships/image" Target="media/imgrId44466a09f310ae280.png"/><Relationship Id="rId10206a09f310bc803" Type="http://schemas.openxmlformats.org/officeDocument/2006/relationships/image" Target="media/imgrId10206a09f310bc80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9770469" Type="http://schemas.openxmlformats.org/officeDocument/2006/relationships/image" Target="media/imgrId1977046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