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 2504TCR / KDI 2504TCRE5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985386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289976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8394963" w:name="ctxt"/>
    <w:bookmarkEnd w:id="18394963"/>
    <w:p>
      <w:pPr>
        <w:widowControl w:val="on"/>
        <w:pBdr/>
        <w:spacing w:before="75" w:after="75" w:line="240" w:lineRule="auto"/>
        <w:ind w:left="75" w:right="75"/>
        <w:jc w:val="left"/>
      </w:pPr>
    </w:p>
    <w:p>
      <w:pPr>
        <w:pStyle w:val="Titolo1"/>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tempi con cilindri in linea; - Raffreddamento a liquido;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valvole per cilindro con punterie idrauliche;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Turbocompressore con valvola Waste-gate;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Iniezione diretta common rail.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 (versione base)</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UNITA'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53776214" name="name53036a169fe29953f"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30456a169fe29953c"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59759673" name="name53276a169fe2a04d9"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13896a169fe2a04d7"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minuti</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 dispositivo equilibratore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 - versione base)</w:t>
      </w:r>
    </w:p>
    <w:p>
      <w:pPr>
        <w:widowControl w:val="on"/>
        <w:pBdr/>
        <w:spacing w:before="225" w:after="225" w:line="262" w:lineRule="auto"/>
        <w:ind w:left="0" w:right="0"/>
        <w:jc w:val="left"/>
      </w:pPr>
      <w:r>
        <w:drawing>
          <wp:inline distT="0" distB="0" distL="0" distR="0">
            <wp:extent cx="5544000" cy="4161600"/>
            <wp:effectExtent b="0" l="0" r="0" t="0"/>
            <wp:docPr id="80039147" name="name63516a169fe2af155"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92806a169fe2af15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604206" name="name94006a169fe2b55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936a169fe2b55b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112"/>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16112"/>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16112"/>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16112"/>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16112"/>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656202" name="name26916a169fe2b926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016a169fe2b925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112"/>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16112"/>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16112"/>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47116a169fe2b97a2"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16112"/>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16112"/>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538542" name="name80526a169fe2be07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2806a169fe2be07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637535" name="name98856a169fe2c267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3896a169fe2c267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78397124" name="name15196a169fe2c91fa"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9896a169fe2c91f8"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OLIO PRESCRITTO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6112"/>
        </w:numPr>
        <w:spacing w:before="0" w:after="0" w:line="240" w:lineRule="auto"/>
        <w:jc w:val="left"/>
        <w:rPr>
          <w:color w:val="00274C"/>
          <w:sz w:val="20"/>
          <w:szCs w:val="20"/>
        </w:rPr>
      </w:pPr>
      <w:r>
        <w:rPr>
          <w:color w:val="00274C"/>
          <w:sz w:val="20"/>
          <w:szCs w:val="20"/>
          <w:u w:val="none"/>
        </w:rPr>
        <w:t xml:space="preserve">La tecnologia Low S.A.P.S. (olio con basso contenuto di ceneri solfate, fosforo e zolfo) mantiene il catalizzatore in buone condizioni di funzionamento. La presenza di ceneri solfate, fosforo e zolfo e zolfo, nel tempo, causano l’intasamento del catalizzatore e la sua conseguente inefficienza.</w:t>
      </w:r>
    </w:p>
    <w:p>
      <w:pPr>
        <w:numPr>
          <w:ilvl w:val="0"/>
          <w:numId w:val="16112"/>
        </w:numPr>
        <w:spacing w:before="0" w:after="0" w:line="240" w:lineRule="auto"/>
        <w:jc w:val="left"/>
        <w:rPr>
          <w:color w:val="00274C"/>
          <w:sz w:val="20"/>
          <w:szCs w:val="20"/>
        </w:rPr>
      </w:pPr>
      <w:r>
        <w:rPr>
          <w:color w:val="00274C"/>
          <w:sz w:val="20"/>
          <w:szCs w:val="20"/>
          <w:u w:val="none"/>
        </w:rPr>
        <w:t xml:space="preserve">Per quanto riguarda l’olio Mid S.A.P.S., il livello di ceneri solfate è lo stesso dell’olio API CJ-4 ≤ 1,0%, ma secondo la standardizzazione ACEA questi oli sono indicati come Mid SAPS.</w:t>
      </w:r>
    </w:p>
    <w:p>
      <w:pPr>
        <w:numPr>
          <w:ilvl w:val="0"/>
          <w:numId w:val="16112"/>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NOTA</w:t>
      </w:r>
      <w:r>
        <w:rPr>
          <w:color w:val="00274C"/>
          <w:sz w:val="20"/>
          <w:szCs w:val="20"/>
          <w:u w:val="none"/>
        </w:rPr>
        <w:t xml:space="preserve"> : NON utilizzare carburante con contenuto di zolfo superiore a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w:t>
      </w:r>
      <w:r>
        <w:rPr>
          <w:color w:val="00274C"/>
          <w:sz w:val="20"/>
          <w:szCs w:val="20"/>
          <w:u w:val="none"/>
        </w:rPr>
        <w:t xml:space="preserve"> </w:t>
      </w:r>
      <w:r>
        <w:rPr>
          <w:b/>
          <w:bCs/>
          <w:color w:val="00274C"/>
          <w:sz w:val="20"/>
          <w:szCs w:val="20"/>
          <w:u w:val="none"/>
        </w:rPr>
        <w:t xml:space="preserve">Su tutti i motori conformi alla normativa emissioni Stage-V (motori provvisti di dispositivo DPF), l'olio da utilizzare</w:t>
      </w:r>
      <w:r>
        <w:rPr>
          <w:color w:val="00274C"/>
          <w:sz w:val="20"/>
          <w:szCs w:val="20"/>
          <w:u w:val="none"/>
        </w:rPr>
        <w:t xml:space="preserve"> </w:t>
      </w:r>
      <w:r>
        <w:rPr>
          <w:b/>
          <w:bCs/>
          <w:color w:val="00274C"/>
          <w:sz w:val="20"/>
          <w:szCs w:val="20"/>
          <w:u w:val="none"/>
        </w:rPr>
        <w:t xml:space="preserve">deve essere obbligatoriamente conforme con la specifica API</w:t>
      </w:r>
      <w:r>
        <w:rPr>
          <w:color w:val="00274C"/>
          <w:sz w:val="20"/>
          <w:szCs w:val="20"/>
          <w:u w:val="none"/>
        </w:rPr>
        <w:t xml:space="preserve"> </w:t>
      </w:r>
      <w:r>
        <w:rPr>
          <w:b/>
          <w:bCs/>
          <w:color w:val="00274C"/>
          <w:sz w:val="20"/>
          <w:szCs w:val="20"/>
          <w:u w:val="none"/>
        </w:rPr>
        <w:t xml:space="preserve">CJ-4 Low S.A.P.S o ACEA</w:t>
      </w:r>
      <w:r>
        <w:rPr>
          <w:color w:val="00274C"/>
          <w:sz w:val="20"/>
          <w:szCs w:val="20"/>
          <w:u w:val="none"/>
        </w:rPr>
        <w:t xml:space="preserve"> </w:t>
      </w:r>
      <w:r>
        <w:rPr>
          <w:b/>
          <w:bCs/>
          <w:color w:val="00274C"/>
          <w:sz w:val="20"/>
          <w:szCs w:val="20"/>
          <w:u w:val="none"/>
        </w:rPr>
        <w:t xml:space="preserve">E6 Low S.A.P.S.</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 NOTA:</w:t>
      </w:r>
      <w:r>
        <w:rPr>
          <w:color w:val="00274C"/>
          <w:sz w:val="20"/>
          <w:szCs w:val="20"/>
          <w:u w:val="none"/>
        </w:rPr>
        <w:t xml:space="preserve"> Gli oli Low S.A.P.S. con ceneri solfatate &lt;1% non possono essere usati con carburanti con contenuto di zolfo &gt; 50ppm.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NON utilizzare carburante con contenuto di zolfo superiore a 500ppm.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2670184" name="name61436a169fe2d112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5616a169fe2d112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8418681" name="name76546a169fe2d4a1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6276a169fe2d4a1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16112"/>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16112"/>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16112"/>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3076874" name="name58856a169fe2dbe7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6006a169fe2dbe7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2857731" name="name23476a169fe2dfde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4476a169fe2dfde3"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2651255" name="name58536a169fe2e47ee"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4306a169fe2e47e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4128596" name="name91606a169fe2ebbd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536a169fe2ebbd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16112"/>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Quadro di comando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Nella </w:t>
            </w:r>
            <w:r>
              <w:rPr>
                <w:b/>
                <w:bCs/>
                <w:color w:val="00274C"/>
                <w:position w:val="-2"/>
                <w:sz w:val="20"/>
                <w:szCs w:val="20"/>
                <w:u w:val="none"/>
              </w:rPr>
              <w:t xml:space="preserve">Tab. 2.8</w:t>
            </w:r>
            <w:r>
              <w:rPr>
                <w:color w:val="00274C"/>
                <w:position w:val="-2"/>
                <w:sz w:val="20"/>
                <w:szCs w:val="20"/>
                <w:u w:val="none"/>
              </w:rPr>
              <w:t xml:space="preserve">  sono indicati i componenti del quadro di comando.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accensione quadro e motore con chiave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Display di consultazione dati o errori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superiore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freccia di navigazione menu inferiore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di selezione o inserimento dati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stato di funzionamento motore (verde = nessun inconveniente rilevato)</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1534395" name="name65886a169fe30270e"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19026a169fe30270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nel caso il LED </w:t>
            </w:r>
            <w:r>
              <w:rPr>
                <w:b/>
                <w:bCs/>
                <w:color w:val="00274C"/>
                <w:position w:val="-2"/>
                <w:sz w:val="20"/>
                <w:szCs w:val="20"/>
                <w:u w:val="none"/>
              </w:rPr>
              <w:t xml:space="preserve">F</w:t>
            </w:r>
            <w:r>
              <w:rPr>
                <w:color w:val="00274C"/>
                <w:position w:val="-2"/>
                <w:sz w:val="20"/>
                <w:szCs w:val="20"/>
                <w:u w:val="none"/>
              </w:rPr>
              <w:t xml:space="preserve"> sia illuminato in rosso, consultare il le officine autorizzate </w:t>
            </w:r>
            <w:r>
              <w:rPr>
                <w:b/>
                <w:bCs/>
                <w:color w:val="00274C"/>
                <w:position w:val="-2"/>
                <w:sz w:val="20"/>
                <w:szCs w:val="20"/>
                <w:u w:val="none"/>
              </w:rPr>
              <w:t xml:space="preserve">REHLKO</w:t>
            </w:r>
            <w:r>
              <w:rPr>
                <w:color w:val="00274C"/>
                <w:position w:val="-2"/>
                <w:sz w:val="20"/>
                <w:szCs w:val="20"/>
                <w:u w:val="none"/>
              </w:rPr>
              <w:t xml:space="preserve">  per conoscere il tipo di inconveniente. Per alcuni inconvenienti si attiva lo spegnimento automatico del motore.</w:t>
            </w:r>
          </w:p>
          <w:p/>
          <w:p/>
          <w:p>
            <w:pPr>
              <w:widowControl w:val="on"/>
              <w:pBdr/>
              <w:spacing w:before="0" w:after="0" w:line="262" w:lineRule="auto"/>
              <w:ind w:left="0" w:right="0"/>
              <w:jc w:val="left"/>
              <w:textAlignment w:val="center"/>
            </w:pPr>
            <w:r>
              <w:rPr>
                <w:color w:val="00274C"/>
                <w:position w:val="-2"/>
                <w:sz w:val="20"/>
                <w:szCs w:val="20"/>
                <w:u w:val="none"/>
              </w:rPr>
              <w:t xml:space="preserve">Nella </w:t>
            </w:r>
            <w:r>
              <w:rPr>
                <w:b/>
                <w:bCs/>
                <w:color w:val="00274C"/>
                <w:position w:val="-2"/>
                <w:sz w:val="20"/>
                <w:szCs w:val="20"/>
                <w:u w:val="none"/>
              </w:rPr>
              <w:t xml:space="preserve">Tab. 2.9</w:t>
            </w:r>
            <w:r>
              <w:rPr>
                <w:color w:val="00274C"/>
                <w:position w:val="-2"/>
                <w:sz w:val="20"/>
                <w:szCs w:val="20"/>
                <w:u w:val="none"/>
              </w:rPr>
              <w:t xml:space="preserve">  sono indicati i dati che è possibile consultare sul display </w:t>
            </w:r>
            <w:r>
              <w:rPr>
                <w:b/>
                <w:bCs/>
                <w:color w:val="00274C"/>
                <w:position w:val="-2"/>
                <w:sz w:val="20"/>
                <w:szCs w:val="20"/>
                <w:u w:val="none"/>
              </w:rPr>
              <w:t xml:space="preserve">B</w:t>
            </w:r>
            <w:r>
              <w:rPr>
                <w:color w:val="00274C"/>
                <w:position w:val="-2"/>
                <w:sz w:val="20"/>
                <w:szCs w:val="20"/>
                <w:u w:val="none"/>
              </w:rPr>
              <w:t xml:space="preserve"> premendo i pulsanti </w:t>
            </w:r>
            <w:r>
              <w:rPr>
                <w:b/>
                <w:bCs/>
                <w:color w:val="00274C"/>
                <w:position w:val="-2"/>
                <w:sz w:val="20"/>
                <w:szCs w:val="20"/>
                <w:u w:val="none"/>
              </w:rPr>
              <w:t xml:space="preserve">C</w:t>
            </w:r>
            <w:r>
              <w:rPr>
                <w:color w:val="00274C"/>
                <w:position w:val="-2"/>
                <w:sz w:val="20"/>
                <w:szCs w:val="20"/>
                <w:u w:val="none"/>
              </w:rPr>
              <w:t xml:space="preserve"> o </w:t>
            </w:r>
            <w:r>
              <w:rPr>
                <w:b/>
                <w:bCs/>
                <w:color w:val="00274C"/>
                <w:position w:val="-2"/>
                <w:sz w:val="20"/>
                <w:szCs w:val="20"/>
                <w:u w:val="none"/>
              </w:rPr>
              <w:t xml:space="preserve">D.</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 dati descritti in </w:t>
            </w:r>
            <w:r>
              <w:rPr>
                <w:b/>
                <w:bCs/>
                <w:color w:val="00274C"/>
                <w:position w:val="-2"/>
                <w:sz w:val="20"/>
                <w:szCs w:val="20"/>
                <w:u w:val="none"/>
              </w:rPr>
              <w:t xml:space="preserve">Tab. 2.9</w:t>
            </w:r>
            <w:r>
              <w:rPr>
                <w:color w:val="00274C"/>
                <w:position w:val="-2"/>
                <w:sz w:val="20"/>
                <w:szCs w:val="20"/>
                <w:u w:val="none"/>
              </w:rPr>
              <w:t xml:space="preserve">  possono essere diversi, in tal caso consultare il manuale della macchina.</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di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Ore rimanenti alla manutenzione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olio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 utilizzata @ rpm (% di utilizzo)</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113">
    <w:multiLevelType w:val="hybridMultilevel"/>
    <w:lvl w:ilvl="0" w:tplc="25058950">
      <w:start w:val="1"/>
      <w:numFmt w:val="decimal"/>
      <w:lvlText w:val="%1."/>
      <w:lvlJc w:val="left"/>
      <w:pPr>
        <w:ind w:left="720" w:hanging="360"/>
      </w:pPr>
    </w:lvl>
    <w:lvl w:ilvl="1" w:tplc="25058950" w:tentative="1">
      <w:start w:val="1"/>
      <w:numFmt w:val="lowerLetter"/>
      <w:lvlText w:val="%2."/>
      <w:lvlJc w:val="left"/>
      <w:pPr>
        <w:ind w:left="1440" w:hanging="360"/>
      </w:pPr>
    </w:lvl>
    <w:lvl w:ilvl="2" w:tplc="25058950" w:tentative="1">
      <w:start w:val="1"/>
      <w:numFmt w:val="lowerRoman"/>
      <w:lvlText w:val="%3."/>
      <w:lvlJc w:val="right"/>
      <w:pPr>
        <w:ind w:left="2160" w:hanging="180"/>
      </w:pPr>
    </w:lvl>
    <w:lvl w:ilvl="3" w:tplc="25058950" w:tentative="1">
      <w:start w:val="1"/>
      <w:numFmt w:val="decimal"/>
      <w:lvlText w:val="%4."/>
      <w:lvlJc w:val="left"/>
      <w:pPr>
        <w:ind w:left="2880" w:hanging="360"/>
      </w:pPr>
    </w:lvl>
    <w:lvl w:ilvl="4" w:tplc="25058950" w:tentative="1">
      <w:start w:val="1"/>
      <w:numFmt w:val="lowerLetter"/>
      <w:lvlText w:val="%5."/>
      <w:lvlJc w:val="left"/>
      <w:pPr>
        <w:ind w:left="3600" w:hanging="360"/>
      </w:pPr>
    </w:lvl>
    <w:lvl w:ilvl="5" w:tplc="25058950" w:tentative="1">
      <w:start w:val="1"/>
      <w:numFmt w:val="lowerRoman"/>
      <w:lvlText w:val="%6."/>
      <w:lvlJc w:val="right"/>
      <w:pPr>
        <w:ind w:left="4320" w:hanging="180"/>
      </w:pPr>
    </w:lvl>
    <w:lvl w:ilvl="6" w:tplc="25058950" w:tentative="1">
      <w:start w:val="1"/>
      <w:numFmt w:val="decimal"/>
      <w:lvlText w:val="%7."/>
      <w:lvlJc w:val="left"/>
      <w:pPr>
        <w:ind w:left="5040" w:hanging="360"/>
      </w:pPr>
    </w:lvl>
    <w:lvl w:ilvl="7" w:tplc="25058950" w:tentative="1">
      <w:start w:val="1"/>
      <w:numFmt w:val="lowerLetter"/>
      <w:lvlText w:val="%8."/>
      <w:lvlJc w:val="left"/>
      <w:pPr>
        <w:ind w:left="5760" w:hanging="360"/>
      </w:pPr>
    </w:lvl>
    <w:lvl w:ilvl="8" w:tplc="25058950" w:tentative="1">
      <w:start w:val="1"/>
      <w:numFmt w:val="lowerRoman"/>
      <w:lvlText w:val="%9."/>
      <w:lvlJc w:val="right"/>
      <w:pPr>
        <w:ind w:left="6480" w:hanging="180"/>
      </w:pPr>
    </w:lvl>
  </w:abstractNum>
  <w:abstractNum w:abstractNumId="16112">
    <w:multiLevelType w:val="hybridMultilevel"/>
    <w:lvl w:ilvl="0" w:tplc="69327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112">
    <w:abstractNumId w:val="16112"/>
  </w:num>
  <w:num w:numId="16113">
    <w:abstractNumId w:val="16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66666966" Type="http://schemas.openxmlformats.org/officeDocument/2006/relationships/comments" Target="comments.xml"/><Relationship Id="rId157705258" Type="http://schemas.microsoft.com/office/2011/relationships/commentsExtended" Target="commentsExtended.xml"/><Relationship Id="rId12899762" Type="http://schemas.openxmlformats.org/officeDocument/2006/relationships/image" Target="media/imgrId12899762.jpg"/><Relationship Id="rId47116a169fe2b97a2" Type="http://schemas.openxmlformats.org/officeDocument/2006/relationships/hyperlink" Target="https://iservice.lombardini.it/jsp/Template2/manuale.jsp?id=203&amp;parent=1000" TargetMode="External"/><Relationship Id="rId30456a169fe29953c" Type="http://schemas.openxmlformats.org/officeDocument/2006/relationships/image" Target="media/imgrId30456a169fe29953c.png"/><Relationship Id="rId13896a169fe2a04d7" Type="http://schemas.openxmlformats.org/officeDocument/2006/relationships/image" Target="media/imgrId13896a169fe2a04d7.png"/><Relationship Id="rId92806a169fe2af152" Type="http://schemas.openxmlformats.org/officeDocument/2006/relationships/image" Target="media/imgrId92806a169fe2af152.png"/><Relationship Id="rId15936a169fe2b55ba" Type="http://schemas.openxmlformats.org/officeDocument/2006/relationships/image" Target="media/imgrId15936a169fe2b55ba.jpg"/><Relationship Id="rId84016a169fe2b925e" Type="http://schemas.openxmlformats.org/officeDocument/2006/relationships/image" Target="media/imgrId84016a169fe2b925e.jpg"/><Relationship Id="rId82806a169fe2be079" Type="http://schemas.openxmlformats.org/officeDocument/2006/relationships/image" Target="media/imgrId82806a169fe2be079.jpg"/><Relationship Id="rId13896a169fe2c267c" Type="http://schemas.openxmlformats.org/officeDocument/2006/relationships/image" Target="media/imgrId13896a169fe2c267c.jpg"/><Relationship Id="rId29896a169fe2c91f8" Type="http://schemas.openxmlformats.org/officeDocument/2006/relationships/image" Target="media/imgrId29896a169fe2c91f8.jpg"/><Relationship Id="rId35616a169fe2d1127" Type="http://schemas.openxmlformats.org/officeDocument/2006/relationships/image" Target="media/imgrId35616a169fe2d1127.png"/><Relationship Id="rId46276a169fe2d4a19" Type="http://schemas.openxmlformats.org/officeDocument/2006/relationships/image" Target="media/imgrId46276a169fe2d4a19.png"/><Relationship Id="rId76006a169fe2dbe78" Type="http://schemas.openxmlformats.org/officeDocument/2006/relationships/image" Target="media/imgrId76006a169fe2dbe78.jpg"/><Relationship Id="rId64476a169fe2dfde3" Type="http://schemas.openxmlformats.org/officeDocument/2006/relationships/image" Target="media/imgrId64476a169fe2dfde3.jpg"/><Relationship Id="rId74306a169fe2e47ec" Type="http://schemas.openxmlformats.org/officeDocument/2006/relationships/image" Target="media/imgrId74306a169fe2e47ec.jpg"/><Relationship Id="rId77536a169fe2ebbd1" Type="http://schemas.openxmlformats.org/officeDocument/2006/relationships/image" Target="media/imgrId77536a169fe2ebbd1.png"/><Relationship Id="rId19026a169fe30270b" Type="http://schemas.openxmlformats.org/officeDocument/2006/relationships/image" Target="media/imgrId19026a169fe30270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2899762" Type="http://schemas.openxmlformats.org/officeDocument/2006/relationships/image" Target="media/imgrId1289976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2899762" Type="http://schemas.openxmlformats.org/officeDocument/2006/relationships/image" Target="media/imgrId1289976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2899762" Type="http://schemas.openxmlformats.org/officeDocument/2006/relationships/image" Target="media/imgrId1289976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2899762" Type="http://schemas.openxmlformats.org/officeDocument/2006/relationships/image" Target="media/imgrId1289976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2899762" Type="http://schemas.openxmlformats.org/officeDocument/2006/relationships/image" Target="media/imgrId1289976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2899762" Type="http://schemas.openxmlformats.org/officeDocument/2006/relationships/image" Target="media/imgrId1289976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