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 M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482899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253470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799135" w:name="ctxt"/>
    <w:bookmarkEnd w:id="74799135"/>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Informazioni utili</w:t>
      </w:r>
    </w:p>
    <w:p>
      <w:pPr>
        <w:numPr>
          <w:ilvl w:val="0"/>
          <w:numId w:val="9897"/>
        </w:numPr>
        <w:spacing w:before="0" w:after="0" w:line="240" w:lineRule="auto"/>
        <w:jc w:val="left"/>
        <w:rPr>
          <w:color w:val="00274C"/>
          <w:sz w:val="20"/>
          <w:szCs w:val="20"/>
        </w:rPr>
      </w:pPr>
      <w:r>
        <w:rPr>
          <w:color w:val="00274C"/>
          <w:sz w:val="20"/>
          <w:szCs w:val="20"/>
          <w:u w:val="none"/>
        </w:rPr>
        <w:t xml:space="preserve">Questo manuale contiene le istruzioni necessarie ad eseguire una corretta riparazione del motore, quindi deve essere sempre disponibile, in modo tale da poterlo consultare all’occorrenza.</w:t>
      </w:r>
    </w:p>
    <w:p>
      <w:pPr>
        <w:numPr>
          <w:ilvl w:val="0"/>
          <w:numId w:val="9897"/>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la configurazione base dei motori ( </w:t>
      </w:r>
      <w:hyperlink r:id="rId24256a325e833c35a" w:history="1">
        <w:r>
          <w:rPr>
            <w:rStyle w:val="DefaultParagraphFontPHPDOCX"/>
            <w:b/>
            <w:bCs/>
            <w:color w:val="0000FF"/>
            <w:sz w:val="20"/>
            <w:szCs w:val="20"/>
            <w:u w:val="none"/>
          </w:rPr>
          <w:t xml:space="preserve">Par. 1.3</w:t>
        </w:r>
      </w:hyperlink>
      <w:r>
        <w:rPr>
          <w:color w:val="00274C"/>
          <w:sz w:val="20"/>
          <w:szCs w:val="20"/>
          <w:u w:val="none"/>
        </w:rPr>
        <w:t xml:space="preserve"> e </w:t>
      </w:r>
      <w:hyperlink r:id="rId28786a325e833c427"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9897"/>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questo manuale sono soggette a variazioni senza obbligo di preavviso.</w:t>
      </w:r>
    </w:p>
    <w:p>
      <w:pPr>
        <w:numPr>
          <w:ilvl w:val="0"/>
          <w:numId w:val="989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si riserva il diritto di apportare, in qualsiasi momento, eventuali modifiche ai motori per motivi di carattere tecnico o commerciale.</w:t>
      </w:r>
    </w:p>
    <w:p>
      <w:pPr>
        <w:numPr>
          <w:ilvl w:val="0"/>
          <w:numId w:val="9897"/>
        </w:numPr>
        <w:spacing w:before="0" w:after="0" w:line="240" w:lineRule="auto"/>
        <w:jc w:val="left"/>
        <w:rPr>
          <w:color w:val="00274C"/>
          <w:sz w:val="20"/>
          <w:szCs w:val="20"/>
        </w:rPr>
      </w:pPr>
      <w:r>
        <w:rPr>
          <w:color w:val="00274C"/>
          <w:sz w:val="20"/>
          <w:szCs w:val="20"/>
          <w:u w:val="none"/>
        </w:rPr>
        <w:t xml:space="preserve">Tali modifiche non obbligano </w:t>
      </w:r>
      <w:r>
        <w:rPr>
          <w:b/>
          <w:bCs/>
          <w:color w:val="00274C"/>
          <w:sz w:val="20"/>
          <w:szCs w:val="20"/>
          <w:u w:val="none"/>
        </w:rPr>
        <w:t xml:space="preserve">KOHLER</w:t>
      </w:r>
      <w:r>
        <w:rPr>
          <w:color w:val="00274C"/>
          <w:sz w:val="20"/>
          <w:szCs w:val="20"/>
          <w:u w:val="none"/>
        </w:rPr>
        <w:t xml:space="preserve"> ad intervenire sulla produzione commercializzata fino a quel momento, né a considerare il presente manuale inadeguato.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 paragrafi, le tabelle e le figure sono numerate per capitolo e seguite dal numero progressivo di paragrafo, tabella e/o figura.</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capitolo </w:t>
      </w:r>
      <w:r>
        <w:rPr>
          <w:b/>
          <w:bCs/>
          <w:color w:val="00274C"/>
          <w:sz w:val="20"/>
          <w:szCs w:val="20"/>
          <w:u w:val="none"/>
        </w:rPr>
        <w:t xml:space="preserve">1</w:t>
      </w:r>
      <w:r>
        <w:rPr>
          <w:color w:val="00274C"/>
          <w:sz w:val="20"/>
          <w:szCs w:val="20"/>
          <w:u w:val="none"/>
        </w:rPr>
        <w:t xml:space="preserve"> paragrafo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capitolo </w:t>
      </w:r>
      <w:r>
        <w:rPr>
          <w:b/>
          <w:bCs/>
          <w:color w:val="00274C"/>
          <w:sz w:val="20"/>
          <w:szCs w:val="20"/>
          <w:u w:val="none"/>
        </w:rPr>
        <w:t xml:space="preserve">2</w:t>
      </w:r>
      <w:r>
        <w:rPr>
          <w:color w:val="00274C"/>
          <w:sz w:val="20"/>
          <w:szCs w:val="20"/>
          <w:u w:val="none"/>
        </w:rPr>
        <w:t xml:space="preserve"> tabella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capitolo </w:t>
      </w:r>
      <w:r>
        <w:rPr>
          <w:b/>
          <w:bCs/>
          <w:color w:val="00274C"/>
          <w:sz w:val="20"/>
          <w:szCs w:val="20"/>
          <w:u w:val="none"/>
        </w:rPr>
        <w:t xml:space="preserve">4</w:t>
      </w:r>
      <w:r>
        <w:rPr>
          <w:color w:val="00274C"/>
          <w:sz w:val="20"/>
          <w:szCs w:val="20"/>
          <w:u w:val="none"/>
        </w:rPr>
        <w:t xml:space="preserve"> figura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I paragrafi possono contenere dei sottoparagrafi.</w:t>
      </w:r>
    </w:p>
    <w:p>
      <w:pPr>
        <w:widowControl w:val="on"/>
        <w:pBdr/>
        <w:spacing w:before="0" w:after="0" w:line="262" w:lineRule="auto"/>
        <w:ind w:left="0" w:right="0"/>
        <w:jc w:val="left"/>
      </w:pPr>
      <w:r>
        <w:rPr>
          <w:color w:val="00274C"/>
          <w:sz w:val="20"/>
          <w:szCs w:val="20"/>
          <w:u w:val="none"/>
        </w:rPr>
        <w:t xml:space="preserve"> </w:t>
      </w:r>
    </w:p>
    <w:p>
      <w:pPr>
        <w:numPr>
          <w:ilvl w:val="0"/>
          <w:numId w:val="9897"/>
        </w:numPr>
        <w:spacing w:before="0" w:after="0" w:line="240" w:lineRule="auto"/>
        <w:jc w:val="left"/>
        <w:rPr>
          <w:color w:val="00274C"/>
          <w:sz w:val="20"/>
          <w:szCs w:val="20"/>
        </w:rPr>
      </w:pPr>
      <w:r>
        <w:rPr>
          <w:color w:val="00274C"/>
          <w:sz w:val="20"/>
          <w:szCs w:val="20"/>
          <w:u w:val="none"/>
        </w:rPr>
        <w:t xml:space="preserve">Tutti i termini tecnici, componenti specifici e simbologia </w:t>
      </w:r>
      <w:r>
        <w:rPr>
          <w:b/>
          <w:bCs/>
          <w:color w:val="00274C"/>
          <w:sz w:val="20"/>
          <w:szCs w:val="20"/>
          <w:u w:val="none"/>
        </w:rPr>
        <w:t xml:space="preserve">( </w:t>
      </w:r>
      <w:hyperlink r:id="rId37396a325e833d348"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che sono presenti nel manuale, sono elencati e descritti all'interno del glossario, consultabile al </w:t>
      </w:r>
      <w:r>
        <w:rPr>
          <w:b/>
          <w:bCs/>
          <w:color w:val="00274C"/>
          <w:sz w:val="20"/>
          <w:szCs w:val="20"/>
          <w:u w:val="none"/>
        </w:rPr>
        <w:t xml:space="preserve">( </w:t>
      </w:r>
      <w:hyperlink r:id="rId21896a325e833d486" w:history="1">
        <w:r>
          <w:rPr>
            <w:rStyle w:val="DefaultParagraphFontPHPDOCX"/>
            <w:b/>
            <w:bCs/>
            <w:color w:val="0000FF"/>
            <w:sz w:val="20"/>
            <w:szCs w:val="20"/>
            <w:u w:val="single" w:color=""/>
          </w:rPr>
          <w:t xml:space="preserve">Cap. 15</w:t>
        </w:r>
      </w:hyperlink>
      <w:r>
        <w:rPr>
          <w:b/>
          <w:bCs/>
          <w:color w:val="00274C"/>
          <w:sz w:val="20"/>
          <w:szCs w:val="20"/>
          <w:u w:val="none"/>
        </w:rPr>
        <w:t xml:space="preserve"> )</w:t>
      </w:r>
      <w:r>
        <w:rPr>
          <w:color w:val="00274C"/>
          <w:sz w:val="20"/>
          <w:szCs w:val="20"/>
          <w:u w:val="none"/>
        </w:rPr>
        <w:t xml:space="preserve"> .</w:t>
      </w:r>
    </w:p>
    <w:p>
      <w:pPr>
        <w:numPr>
          <w:ilvl w:val="0"/>
          <w:numId w:val="9897"/>
        </w:numPr>
        <w:spacing w:before="0" w:after="0" w:line="240" w:lineRule="auto"/>
        <w:jc w:val="left"/>
        <w:rPr>
          <w:color w:val="00274C"/>
          <w:sz w:val="20"/>
          <w:szCs w:val="20"/>
        </w:rPr>
      </w:pPr>
      <w:r>
        <w:rPr>
          <w:color w:val="00274C"/>
          <w:sz w:val="20"/>
          <w:szCs w:val="20"/>
          <w:u w:val="none"/>
        </w:rPr>
        <w:t xml:space="preserve">I riferimenti degli oggetti descritti nel testo e in figura sono indicati tramite lettere e numeri (in nero), le quali sono sempre e solo inerenti al paragrafo che si sta consultando a meno che non vi siano specifici richiami ad altre figure o paragrafi.</w:t>
      </w:r>
    </w:p>
    <w:p>
      <w:pPr>
        <w:numPr>
          <w:ilvl w:val="0"/>
          <w:numId w:val="9897"/>
        </w:numPr>
        <w:spacing w:before="0" w:after="0" w:line="240" w:lineRule="auto"/>
        <w:jc w:val="left"/>
        <w:rPr>
          <w:color w:val="00274C"/>
          <w:sz w:val="20"/>
          <w:szCs w:val="20"/>
        </w:rPr>
      </w:pPr>
      <w:r>
        <w:rPr>
          <w:color w:val="00274C"/>
          <w:sz w:val="20"/>
          <w:szCs w:val="20"/>
          <w:u w:val="none"/>
        </w:rPr>
        <w:t xml:space="preserve">I riferimenti di quote sono indicati tramite lettere e numeri </w:t>
      </w:r>
      <w:r>
        <w:rPr>
          <w:b/>
          <w:bCs/>
          <w:color w:val="00274C"/>
          <w:sz w:val="20"/>
          <w:szCs w:val="20"/>
          <w:u w:val="none"/>
        </w:rPr>
        <w:t xml:space="preserve">(sottolineato)</w:t>
      </w:r>
      <w:r>
        <w:rPr>
          <w:color w:val="00274C"/>
          <w:sz w:val="20"/>
          <w:szCs w:val="20"/>
          <w:u w:val="none"/>
        </w:rPr>
        <w:t xml:space="preserve"> .</w:t>
      </w:r>
    </w:p>
    <w:p>
      <w:pPr>
        <w:numPr>
          <w:ilvl w:val="0"/>
          <w:numId w:val="9897"/>
        </w:numPr>
        <w:spacing w:before="0" w:after="0" w:line="240" w:lineRule="auto"/>
        <w:jc w:val="left"/>
        <w:rPr>
          <w:color w:val="00274C"/>
          <w:sz w:val="20"/>
          <w:szCs w:val="20"/>
        </w:rPr>
      </w:pPr>
      <w:r>
        <w:rPr>
          <w:color w:val="00274C"/>
          <w:sz w:val="20"/>
          <w:szCs w:val="20"/>
          <w:u w:val="none"/>
        </w:rPr>
        <w:t xml:space="preserve">Eventuali integrazioni che </w:t>
      </w:r>
      <w:r>
        <w:rPr>
          <w:b/>
          <w:bCs/>
          <w:color w:val="00274C"/>
          <w:sz w:val="20"/>
          <w:szCs w:val="20"/>
          <w:u w:val="none"/>
        </w:rPr>
        <w:t xml:space="preserve">KOHLER</w:t>
      </w:r>
      <w:r>
        <w:rPr>
          <w:color w:val="00274C"/>
          <w:sz w:val="20"/>
          <w:szCs w:val="20"/>
          <w:u w:val="none"/>
        </w:rPr>
        <w:t xml:space="preserve"> riterrà opportuno fornite in seguito dovranno essere conservate unitamente al manuale e considerate parte integrante di esso.</w:t>
      </w:r>
    </w:p>
    <w:p>
      <w:pPr>
        <w:numPr>
          <w:ilvl w:val="0"/>
          <w:numId w:val="9897"/>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274C"/>
          <w:sz w:val="20"/>
          <w:szCs w:val="20"/>
          <w:u w:val="none"/>
        </w:rPr>
        <w:t xml:space="preserve">KOHLER</w:t>
      </w:r>
      <w:r>
        <w:rPr>
          <w:color w:val="00274C"/>
          <w:sz w:val="20"/>
          <w:szCs w:val="20"/>
          <w:u w:val="none"/>
        </w:rPr>
        <w:t xml:space="preserve"> , pertanto non sono permesse riproduzioni o ristampe nè parziali nè totali senza il permesso espresso della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Informazioni utili su: sicurezza - anti-infortunistica - impatto ambientale</w:t>
      </w:r>
    </w:p>
    <w:p>
      <w:pPr>
        <w:widowControl w:val="on"/>
        <w:pBdr/>
        <w:spacing w:before="0" w:after="0" w:line="262" w:lineRule="auto"/>
        <w:ind w:left="0" w:right="0"/>
        <w:jc w:val="left"/>
      </w:pPr>
      <w:r>
        <w:rPr>
          <w:b/>
          <w:bCs/>
          <w:color w:val="00274C"/>
          <w:sz w:val="20"/>
          <w:szCs w:val="20"/>
          <w:u w:val="none"/>
        </w:rPr>
        <w:t xml:space="preserve"> </w:t>
      </w:r>
    </w:p>
    <w:p>
      <w:pPr>
        <w:numPr>
          <w:ilvl w:val="0"/>
          <w:numId w:val="9897"/>
        </w:numPr>
        <w:spacing w:before="0" w:after="0" w:line="240" w:lineRule="auto"/>
        <w:jc w:val="left"/>
        <w:rPr>
          <w:color w:val="00274C"/>
          <w:sz w:val="20"/>
          <w:szCs w:val="20"/>
        </w:rPr>
      </w:pPr>
      <w:r>
        <w:rPr>
          <w:color w:val="00274C"/>
          <w:sz w:val="20"/>
          <w:szCs w:val="20"/>
          <w:u w:val="none"/>
        </w:rPr>
        <w:t xml:space="preserve">Prima di procedere alla riparazione - movimentazione del motore, è doveroso leggere interamente il </w:t>
      </w:r>
      <w:hyperlink r:id="rId36176a325e833ddd7" w:history="1">
        <w:r>
          <w:rPr>
            <w:rStyle w:val="DefaultParagraphFontPHPDOCX"/>
            <w:b/>
            <w:bCs/>
            <w:color w:val="0000FF"/>
            <w:sz w:val="20"/>
            <w:szCs w:val="20"/>
            <w:u w:val="none"/>
          </w:rPr>
          <w:t xml:space="preserve">Cap. 3</w:t>
        </w:r>
      </w:hyperlink>
      <w:r>
        <w:rPr>
          <w:color w:val="00274C"/>
          <w:sz w:val="20"/>
          <w:szCs w:val="20"/>
          <w:u w:val="none"/>
        </w:rPr>
        <w:t xml:space="preserve"> , il quale contiene importanti informazioni sulle procedure da seguire per la sicurezza e per l'ambiente.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p>
      <w:pPr>
        <w:widowControl w:val="on"/>
        <w:pBdr/>
        <w:spacing w:before="0" w:after="0" w:line="262" w:lineRule="auto"/>
        <w:ind w:left="0" w:right="0"/>
        <w:jc w:val="left"/>
      </w:pPr>
      <w:r>
        <w:rPr>
          <w:color w:val="00274C"/>
          <w:sz w:val="20"/>
          <w:szCs w:val="20"/>
          <w:u w:val="none"/>
        </w:rPr>
        <w:t xml:space="preserve">La targhetta di identificazione motore è situata sulla parte bassa del basamento, essa è visibile dal lato di aspirazione o dal lato scarico.</w:t>
      </w:r>
    </w:p>
    <w:p>
      <w:pPr>
        <w:widowControl w:val="on"/>
        <w:pBdr/>
        <w:spacing w:before="225" w:after="225" w:line="262" w:lineRule="auto"/>
        <w:ind w:left="0" w:right="0"/>
        <w:jc w:val="left"/>
      </w:pPr>
      <w:r>
        <w:drawing>
          <wp:inline distT="0" distB="0" distL="0" distR="0">
            <wp:extent cx="2239200" cy="2736000"/>
            <wp:effectExtent b="0" l="0" r="0" t="0"/>
            <wp:docPr id="67865817" name="name59006a325e834e18a"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11446a325e834e187"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82425775" name="name42546a325e835c3f2"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23296a325e835c3ef"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521600" cy="1692000"/>
            <wp:effectExtent b="0" l="0" r="0" t="0"/>
            <wp:docPr id="28465125" name="name13036a325e8366e8f" descr="Fig._1.3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IT.jpg"/>
                    <pic:cNvPicPr/>
                  </pic:nvPicPr>
                  <pic:blipFill>
                    <a:blip r:embed="rId76656a325e8366e8d" cstate="print"/>
                    <a:stretch>
                      <a:fillRect/>
                    </a:stretch>
                  </pic:blipFill>
                  <pic:spPr>
                    <a:xfrm>
                      <a:off x="0" y="0"/>
                      <a:ext cx="4521600" cy="16920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interni principali del motore e riferimenti operativi (CONFIGURAZIONE BASE)</w:t>
      </w:r>
    </w:p>
    <w:p>
      <w:pPr>
        <w:widowControl w:val="on"/>
        <w:pBdr/>
        <w:spacing w:before="0" w:after="0" w:line="262" w:lineRule="auto"/>
        <w:ind w:left="0" w:right="0"/>
        <w:jc w:val="left"/>
      </w:pPr>
      <w:r>
        <w:rPr>
          <w:b/>
          <w:bCs/>
          <w:color w:val="00274C"/>
          <w:sz w:val="20"/>
          <w:szCs w:val="20"/>
          <w:u w:val="none"/>
        </w:rPr>
        <w:t xml:space="preserve">VISTA LATO SCARICO</w:t>
      </w:r>
    </w:p>
    <w:p>
      <w:pPr>
        <w:widowControl w:val="on"/>
        <w:pBdr/>
        <w:spacing w:before="225" w:after="225" w:line="262" w:lineRule="auto"/>
        <w:ind w:left="0" w:right="0"/>
        <w:jc w:val="left"/>
      </w:pPr>
      <w:r>
        <w:drawing>
          <wp:inline distT="0" distB="0" distL="0" distR="0">
            <wp:extent cx="4824000" cy="3124800"/>
            <wp:effectExtent b="0" l="0" r="0" t="0"/>
            <wp:docPr id="64706360" name="name25026a325e837393e"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67616a325e837393c"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Nei capitoli successivi vengono richiamati dei riferimenti operativi, al fine di orientarsi con chiarezza sul motore, in questo paragrafo vengono illustrati tali riferimenti che possono essere riconosciuti tramite alcuni componenti interni principali.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Consultare sempre questo paragrafo in caso di necessità per effettuare operazioni complesse.</w:t>
            </w:r>
          </w:p>
          <w:p>
            <w:pPr>
              <w:widowControl w:val="on"/>
              <w:pBdr/>
              <w:spacing w:before="0" w:after="0" w:line="262" w:lineRule="auto"/>
              <w:ind w:left="0" w:right="0"/>
              <w:jc w:val="left"/>
              <w:textAlignment w:val="center"/>
            </w:pPr>
            <w:r>
              <w:rPr>
                <w:b/>
                <w:bCs/>
                <w:color w:val="00274C"/>
                <w:position w:val="-2"/>
                <w:sz w:val="20"/>
                <w:szCs w:val="20"/>
                <w:u w:val="none"/>
              </w:rPr>
              <w:br/>
              <w:br/>
              <w:t xml:space="preserve">NOTA:</w:t>
            </w:r>
            <w:r>
              <w:rPr>
                <w:color w:val="00274C"/>
                <w:position w:val="-2"/>
                <w:sz w:val="20"/>
                <w:szCs w:val="20"/>
                <w:u w:val="none"/>
              </w:rPr>
              <w:t xml:space="preserve"> si consiglia di avere questa pagina a vista durante le operazioni di smontaggio e montaggio.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11886259" name="name13816a325e837900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876a325e837900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distribuzione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3365641" name="name53566a325e837c43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8136a325e837c43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53693739" name="name68676a325e837eab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7876a325e837eab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27988669" name="name95066a325e838192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8686a325e838192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predisposizione per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(opzionali)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Iniettore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w:t>
      </w:r>
      <w:r>
        <w:drawing>
          <wp:inline distT="0" distB="0" distL="0" distR="0">
            <wp:extent cx="4824000" cy="3297600"/>
            <wp:effectExtent b="0" l="0" r="0" t="0"/>
            <wp:docPr id="85401007" name="name52116a325e838b6e7"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55516a325e838b6e4"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DISTRIBUZIONE</w:t>
      </w:r>
      <w:r>
        <w:drawing>
          <wp:inline distT="0" distB="0" distL="0" distR="0">
            <wp:extent cx="4824000" cy="3297600"/>
            <wp:effectExtent b="0" l="0" r="0" t="0"/>
            <wp:docPr id="587980" name="name61116a325e8395433"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14906a325e8395431"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esterni del motore (CONFIGURAZIONE BASE)</w:t>
      </w:r>
    </w:p>
    <w:p>
      <w:pPr>
        <w:widowControl w:val="on"/>
        <w:pBdr/>
        <w:spacing w:before="0" w:after="0" w:line="262" w:lineRule="auto"/>
        <w:ind w:left="0" w:right="0"/>
        <w:jc w:val="left"/>
      </w:pPr>
      <w:r>
        <w:rPr>
          <w:b/>
          <w:bCs/>
          <w:color w:val="00274C"/>
          <w:sz w:val="20"/>
          <w:szCs w:val="20"/>
          <w:u w:val="none"/>
        </w:rPr>
        <w:t xml:space="preserve">VISTA LATO DISTRIBUZIONE - SCARICO</w:t>
      </w:r>
    </w:p>
    <w:p>
      <w:pPr>
        <w:widowControl w:val="on"/>
        <w:pBdr/>
        <w:spacing w:before="225" w:after="225" w:line="262" w:lineRule="auto"/>
        <w:ind w:left="0" w:right="0"/>
        <w:jc w:val="left"/>
      </w:pPr>
      <w:r>
        <w:drawing>
          <wp:inline distT="0" distB="0" distL="0" distR="0">
            <wp:extent cx="4824000" cy="3132000"/>
            <wp:effectExtent b="0" l="0" r="0" t="0"/>
            <wp:docPr id="10213411" name="name97156a325e83a1670"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37396a325e83a166d"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 - ASPIRAZIONE</w:t>
      </w:r>
      <w:r>
        <w:drawing>
          <wp:inline distT="0" distB="0" distL="0" distR="0">
            <wp:extent cx="4838400" cy="3304800"/>
            <wp:effectExtent b="0" l="0" r="0" t="0"/>
            <wp:docPr id="49612241" name="name57586a325e83badbb"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32856a325e83badb8" cstate="print"/>
                    <a:stretch>
                      <a:fillRect/>
                    </a:stretch>
                  </pic:blipFill>
                  <pic:spPr>
                    <a:xfrm>
                      <a:off x="0" y="0"/>
                      <a:ext cx="4838400" cy="33048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In questo paragrafo vengono illustrati tutti i componenti esterni che sono presenti nella configurazione base del motore.</w:t>
            </w:r>
          </w:p>
          <w:p>
            <w:pPr>
              <w:widowControl w:val="on"/>
              <w:pBdr/>
              <w:spacing w:before="0" w:after="0" w:line="262" w:lineRule="auto"/>
              <w:ind w:left="0" w:right="0"/>
              <w:jc w:val="left"/>
              <w:textAlignment w:val="center"/>
            </w:pPr>
            <w:r>
              <w:rPr>
                <w:color w:val="00274C"/>
                <w:position w:val="-2"/>
                <w:sz w:val="20"/>
                <w:szCs w:val="20"/>
                <w:u w:val="none"/>
              </w:rPr>
              <w:t xml:space="preserve">Per i componenti presenti sul motore diversi da quelli rappresentati in queste illustrazioni, consultare il  </w:t>
            </w:r>
            <w:hyperlink r:id="rId42666a325e83bb26c" w:history="1">
              <w:r>
                <w:rPr>
                  <w:rStyle w:val="DefaultParagraphFontPHPDOCX"/>
                  <w:b/>
                  <w:bCs/>
                  <w:color w:val="0000FF"/>
                  <w:position w:val="-2"/>
                  <w:sz w:val="20"/>
                  <w:szCs w:val="20"/>
                  <w:u w:val="single" w:color=""/>
                </w:rPr>
                <w:t xml:space="preserve">Cap.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NOTA:</w:t>
            </w:r>
            <w:r>
              <w:rPr>
                <w:color w:val="00274C"/>
                <w:position w:val="0"/>
                <w:sz w:val="20"/>
                <w:szCs w:val="20"/>
                <w:u w:val="none"/>
              </w:rPr>
              <w:t xml:space="preserve">  I componenti illustrati, possono essere diversi da quelli rappresentati, l'illustrazione è puramente indicativa.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identificazione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 laterale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Collettore di aspirazione</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Campana di flangiatura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Iniettori</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VISTA SUPERIORE</w:t>
      </w:r>
      <w:r>
        <w:drawing>
          <wp:inline distT="0" distB="0" distL="0" distR="0">
            <wp:extent cx="4960800" cy="3312000"/>
            <wp:effectExtent b="0" l="0" r="0" t="0"/>
            <wp:docPr id="94397274" name="name63196a325e83dd2c1"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49076a325e83dd2bd" cstate="print"/>
                    <a:stretch>
                      <a:fillRect/>
                    </a:stretch>
                  </pic:blipFill>
                  <pic:spPr>
                    <a:xfrm>
                      <a:off x="0" y="0"/>
                      <a:ext cx="4960800" cy="3312000"/>
                    </a:xfrm>
                    <a:prstGeom prst="rect">
                      <a:avLst/>
                    </a:prstGeom>
                    <a:ln w="0">
                      <a:noFill/>
                    </a:ln>
                  </pic:spPr>
                </pic:pic>
              </a:graphicData>
            </a:graphic>
          </wp:inline>
        </w:drawing>
      </w:r>
      <w:r>
        <w:rPr>
          <w:b/>
          <w:bCs/>
          <w:color w:val="00274C"/>
          <w:sz w:val="20"/>
          <w:szCs w:val="20"/>
          <w:u w:val="none"/>
        </w:rPr>
        <w:b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898">
    <w:multiLevelType w:val="hybridMultilevel"/>
    <w:lvl w:ilvl="0" w:tplc="25617748">
      <w:start w:val="1"/>
      <w:numFmt w:val="decimal"/>
      <w:lvlText w:val="%1."/>
      <w:lvlJc w:val="left"/>
      <w:pPr>
        <w:ind w:left="720" w:hanging="360"/>
      </w:pPr>
    </w:lvl>
    <w:lvl w:ilvl="1" w:tplc="25617748" w:tentative="1">
      <w:start w:val="1"/>
      <w:numFmt w:val="lowerLetter"/>
      <w:lvlText w:val="%2."/>
      <w:lvlJc w:val="left"/>
      <w:pPr>
        <w:ind w:left="1440" w:hanging="360"/>
      </w:pPr>
    </w:lvl>
    <w:lvl w:ilvl="2" w:tplc="25617748" w:tentative="1">
      <w:start w:val="1"/>
      <w:numFmt w:val="lowerRoman"/>
      <w:lvlText w:val="%3."/>
      <w:lvlJc w:val="right"/>
      <w:pPr>
        <w:ind w:left="2160" w:hanging="180"/>
      </w:pPr>
    </w:lvl>
    <w:lvl w:ilvl="3" w:tplc="25617748" w:tentative="1">
      <w:start w:val="1"/>
      <w:numFmt w:val="decimal"/>
      <w:lvlText w:val="%4."/>
      <w:lvlJc w:val="left"/>
      <w:pPr>
        <w:ind w:left="2880" w:hanging="360"/>
      </w:pPr>
    </w:lvl>
    <w:lvl w:ilvl="4" w:tplc="25617748" w:tentative="1">
      <w:start w:val="1"/>
      <w:numFmt w:val="lowerLetter"/>
      <w:lvlText w:val="%5."/>
      <w:lvlJc w:val="left"/>
      <w:pPr>
        <w:ind w:left="3600" w:hanging="360"/>
      </w:pPr>
    </w:lvl>
    <w:lvl w:ilvl="5" w:tplc="25617748" w:tentative="1">
      <w:start w:val="1"/>
      <w:numFmt w:val="lowerRoman"/>
      <w:lvlText w:val="%6."/>
      <w:lvlJc w:val="right"/>
      <w:pPr>
        <w:ind w:left="4320" w:hanging="180"/>
      </w:pPr>
    </w:lvl>
    <w:lvl w:ilvl="6" w:tplc="25617748" w:tentative="1">
      <w:start w:val="1"/>
      <w:numFmt w:val="decimal"/>
      <w:lvlText w:val="%7."/>
      <w:lvlJc w:val="left"/>
      <w:pPr>
        <w:ind w:left="5040" w:hanging="360"/>
      </w:pPr>
    </w:lvl>
    <w:lvl w:ilvl="7" w:tplc="25617748" w:tentative="1">
      <w:start w:val="1"/>
      <w:numFmt w:val="lowerLetter"/>
      <w:lvlText w:val="%8."/>
      <w:lvlJc w:val="left"/>
      <w:pPr>
        <w:ind w:left="5760" w:hanging="360"/>
      </w:pPr>
    </w:lvl>
    <w:lvl w:ilvl="8" w:tplc="25617748" w:tentative="1">
      <w:start w:val="1"/>
      <w:numFmt w:val="lowerRoman"/>
      <w:lvlText w:val="%9."/>
      <w:lvlJc w:val="right"/>
      <w:pPr>
        <w:ind w:left="6480" w:hanging="180"/>
      </w:pPr>
    </w:lvl>
  </w:abstractNum>
  <w:abstractNum w:abstractNumId="9897">
    <w:multiLevelType w:val="hybridMultilevel"/>
    <w:lvl w:ilvl="0" w:tplc="24164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897">
    <w:abstractNumId w:val="9897"/>
  </w:num>
  <w:num w:numId="9898">
    <w:abstractNumId w:val="9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21021656" Type="http://schemas.openxmlformats.org/officeDocument/2006/relationships/comments" Target="comments.xml"/><Relationship Id="rId496654997" Type="http://schemas.microsoft.com/office/2011/relationships/commentsExtended" Target="commentsExtended.xml"/><Relationship Id="rId92534704" Type="http://schemas.openxmlformats.org/officeDocument/2006/relationships/image" Target="media/imgrId92534704.jpg"/><Relationship Id="rId24256a325e833c35a" Type="http://schemas.openxmlformats.org/officeDocument/2006/relationships/hyperlink" Target="https://iservice.lombardini.it/jsp/Template2/manuale.jsp?id=259&amp;parent=1136" TargetMode="External"/><Relationship Id="rId28786a325e833c427" Type="http://schemas.openxmlformats.org/officeDocument/2006/relationships/hyperlink" Target="https://iservice.lombardini.it/jsp/Template2/manuale.jsp?id=260&amp;parent=1136" TargetMode="External"/><Relationship Id="rId37396a325e833d348" Type="http://schemas.openxmlformats.org/officeDocument/2006/relationships/hyperlink" Target="https://iservice.lombardini.it/jsp/Template2/manuale.jsp?id=335&amp;parent=1136" TargetMode="External"/><Relationship Id="rId21896a325e833d486" Type="http://schemas.openxmlformats.org/officeDocument/2006/relationships/hyperlink" Target="https://iservice.lombardini.it/jsp/Template2/manuale.jsp?id=335&amp;parent=1136" TargetMode="External"/><Relationship Id="rId36176a325e833ddd7" Type="http://schemas.openxmlformats.org/officeDocument/2006/relationships/hyperlink" Target="https://iservice.lombardini.it/jsp/Template2/manuale.jsp?id=282&amp;parent=1136" TargetMode="External"/><Relationship Id="rId42666a325e83bb26c" Type="http://schemas.openxmlformats.org/officeDocument/2006/relationships/hyperlink" Target="https://iservice.lombardini.it/jsp/Template2/manuale.jsp?id=341&amp;parent=1136" TargetMode="External"/><Relationship Id="rId11446a325e834e187" Type="http://schemas.openxmlformats.org/officeDocument/2006/relationships/image" Target="media/imgrId11446a325e834e187.jpg"/><Relationship Id="rId23296a325e835c3ef" Type="http://schemas.openxmlformats.org/officeDocument/2006/relationships/image" Target="media/imgrId23296a325e835c3ef.jpg"/><Relationship Id="rId76656a325e8366e8d" Type="http://schemas.openxmlformats.org/officeDocument/2006/relationships/image" Target="media/imgrId76656a325e8366e8d.jpg"/><Relationship Id="rId67616a325e837393c" Type="http://schemas.openxmlformats.org/officeDocument/2006/relationships/image" Target="media/imgrId67616a325e837393c.jpg"/><Relationship Id="rId90876a325e8379008" Type="http://schemas.openxmlformats.org/officeDocument/2006/relationships/image" Target="media/imgrId90876a325e8379008.gif"/><Relationship Id="rId28136a325e837c434" Type="http://schemas.openxmlformats.org/officeDocument/2006/relationships/image" Target="media/imgrId28136a325e837c434.gif"/><Relationship Id="rId27876a325e837eab1" Type="http://schemas.openxmlformats.org/officeDocument/2006/relationships/image" Target="media/imgrId27876a325e837eab1.gif"/><Relationship Id="rId48686a325e8381924" Type="http://schemas.openxmlformats.org/officeDocument/2006/relationships/image" Target="media/imgrId48686a325e8381924.gif"/><Relationship Id="rId55516a325e838b6e4" Type="http://schemas.openxmlformats.org/officeDocument/2006/relationships/image" Target="media/imgrId55516a325e838b6e4.jpg"/><Relationship Id="rId14906a325e8395431" Type="http://schemas.openxmlformats.org/officeDocument/2006/relationships/image" Target="media/imgrId14906a325e8395431.jpg"/><Relationship Id="rId37396a325e83a166d" Type="http://schemas.openxmlformats.org/officeDocument/2006/relationships/image" Target="media/imgrId37396a325e83a166d.jpg"/><Relationship Id="rId32856a325e83badb8" Type="http://schemas.openxmlformats.org/officeDocument/2006/relationships/image" Target="media/imgrId32856a325e83badb8.jpg"/><Relationship Id="rId49076a325e83dd2bd" Type="http://schemas.openxmlformats.org/officeDocument/2006/relationships/image" Target="media/imgrId49076a325e83dd2b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2534704" Type="http://schemas.openxmlformats.org/officeDocument/2006/relationships/image" Target="media/imgrId9253470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