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Technical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3404 TCR-SCR Owner Manual (REV_05)</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450495372"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87235539"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3404tcr</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81655937" w:name="ctxt"/>
    <w:bookmarkEnd w:id="81655937"/>
    <w:p>
      <w:pPr>
        <w:widowControl w:val="on"/>
        <w:pBdr/>
        <w:spacing w:before="75" w:after="75" w:line="240" w:lineRule="auto"/>
        <w:ind w:left="75" w:right="75"/>
        <w:jc w:val="left"/>
      </w:pPr>
    </w:p>
    <w:p>
      <w:pPr>
        <w:pStyle w:val="Titolo1"/>
      </w:pPr>
      <w:r>
        <w:rPr/>
        <w:t xml:space="preserve">Technical information</w:t>
      </w:r>
    </w:p>
    <w:p>
      <w:pPr>
        <w:widowControl w:val="on"/>
        <w:pBdr/>
        <w:spacing w:before="0" w:after="0" w:line="240" w:lineRule="auto"/>
        <w:ind w:left="0" w:right="0"/>
        <w:jc w:val="left"/>
      </w:pPr>
    </w:p>
    <w:p>
      <w:pPr>
        <w:pStyle w:val="Titolo2"/>
      </w:pPr>
      <w:r>
        <w:rPr/>
        <w:t xml:space="preserve">General description of the engine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- 4-stroke, in-line cylinders Diesel engine; - Liquid-cooling system;</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- 4 valves per cylinder with hydraulic tappets;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Turbocharger with Waste-gate valve;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Common rail - Direct injection.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specifications</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TECHNICAL DATA</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UNIT OF MEASURE</w:t>
                  </w:r>
                </w:p>
              </w:tc>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80"/>
                    </w:rPr>
                    <w:drawing>
                      <wp:inline distT="0" distB="0" distL="0" distR="0">
                        <wp:extent cx="1440000" cy="1080000"/>
                        <wp:effectExtent b="0" l="0" r="0" t="0"/>
                        <wp:docPr id="76675858" name="name73246a3420f7e4d88" descr="CAP_2_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0.png"/>
                                <pic:cNvPicPr/>
                              </pic:nvPicPr>
                              <pic:blipFill>
                                <a:blip r:embed="rId69796a3420f7e4d85" cstate="print"/>
                                <a:stretch>
                                  <a:fillRect/>
                                </a:stretch>
                              </pic:blipFill>
                              <pic:spPr>
                                <a:xfrm>
                                  <a:off x="0" y="0"/>
                                  <a:ext cx="1440000" cy="1080000"/>
                                </a:xfrm>
                                <a:prstGeom prst="rect">
                                  <a:avLst/>
                                </a:prstGeom>
                                <a:ln w="0">
                                  <a:noFill/>
                                </a:ln>
                              </pic:spPr>
                            </pic:pic>
                          </a:graphicData>
                        </a:graphic>
                      </wp:inline>
                    </w:drawing>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Engine type</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KDI 3404 TCR SCR</w:t>
                  </w:r>
                </w:p>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Cylinders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Bore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96</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Stroke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116</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Displacement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3359</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MAX INCLINATION DURING OPERATION (even in combined)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bookmarkStart w:id="58459443" w:name="result_box"/>
                <w:bookmarkEnd w:id="58459443"/>
                <w:p>
                  <w:pPr>
                    <w:widowControl w:val="on"/>
                    <w:pBdr/>
                    <w:spacing w:before="0" w:after="0" w:line="240" w:lineRule="auto"/>
                    <w:ind w:left="0" w:right="0"/>
                    <w:jc w:val="center"/>
                  </w:pPr>
                  <w:r>
                    <w:rPr>
                      <w:color w:val="00274C"/>
                      <w:position w:val="-2"/>
                      <w:sz w:val="20"/>
                      <w:szCs w:val="20"/>
                      <w:u w:val="none"/>
                      <w:shd w:val="clear" w:color="auto" w:fill="E1E2E0"/>
                    </w:rPr>
                    <w:t xml:space="preserve">40° max 30 min.</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bookmarkStart w:id="71205833" w:name="result_box"/>
                <w:bookmarkEnd w:id="71205833"/>
                <w:p>
                  <w:pPr>
                    <w:widowControl w:val="on"/>
                    <w:pBdr/>
                    <w:spacing w:before="0" w:after="0" w:line="240" w:lineRule="auto"/>
                    <w:ind w:left="0" w:right="0"/>
                    <w:jc w:val="center"/>
                  </w:pPr>
                  <w:r>
                    <w:rPr>
                      <w:color w:val="00274C"/>
                      <w:position w:val="-2"/>
                      <w:sz w:val="20"/>
                      <w:szCs w:val="20"/>
                      <w:u w:val="none"/>
                      <w:shd w:val="clear" w:color="auto" w:fill="E1E2E0"/>
                    </w:rPr>
                    <w:t xml:space="preserve">45° max 1 min.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OIL CAPACITY (MAX level.) including oil filter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standard version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15.6</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DRY WEIGHT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Kg</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394</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dimensions (mm - base version)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r>
              <w:rPr>
                <w:position w:val="-329"/>
              </w:rPr>
              <w:drawing>
                <wp:inline distT="0" distB="0" distL="0" distR="0">
                  <wp:extent cx="5544000" cy="4161600"/>
                  <wp:effectExtent b="0" l="0" r="0" t="0"/>
                  <wp:docPr id="77314783" name="name76706a3420f807a13" descr="Cap_2_01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1_02.png"/>
                          <pic:cNvPicPr/>
                        </pic:nvPicPr>
                        <pic:blipFill>
                          <a:blip r:embed="rId52856a3420f807a10" cstate="print"/>
                          <a:stretch>
                            <a:fillRect/>
                          </a:stretch>
                        </pic:blipFill>
                        <pic:spPr>
                          <a:xfrm>
                            <a:off x="0" y="0"/>
                            <a:ext cx="5544000" cy="4161600"/>
                          </a:xfrm>
                          <a:prstGeom prst="rect">
                            <a:avLst/>
                          </a:prstGeom>
                          <a:ln w="0">
                            <a:noFill/>
                          </a:ln>
                        </pic:spPr>
                      </pic:pic>
                    </a:graphicData>
                  </a:graphic>
                </wp:inline>
              </w:drawing>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Oil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9378583" name="name42236a3420f80eaa1"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5876a3420f80ea9f"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19655"/>
        </w:numPr>
        <w:spacing w:before="0" w:after="0" w:line="240" w:lineRule="auto"/>
        <w:jc w:val="left"/>
        <w:rPr>
          <w:color w:val="00274C"/>
          <w:sz w:val="20"/>
          <w:szCs w:val="20"/>
        </w:rPr>
      </w:pPr>
      <w:r>
        <w:rPr>
          <w:color w:val="00274C"/>
          <w:sz w:val="20"/>
          <w:szCs w:val="20"/>
          <w:u w:val="none"/>
        </w:rPr>
        <w:t xml:space="preserve">The engine may be damaged if operated with improper oil level.</w:t>
      </w:r>
    </w:p>
    <w:p>
      <w:pPr>
        <w:numPr>
          <w:ilvl w:val="0"/>
          <w:numId w:val="19655"/>
        </w:numPr>
        <w:spacing w:before="0" w:after="0" w:line="240" w:lineRule="auto"/>
        <w:jc w:val="left"/>
        <w:rPr>
          <w:color w:val="00274C"/>
          <w:sz w:val="20"/>
          <w:szCs w:val="20"/>
        </w:rPr>
      </w:pPr>
      <w:r>
        <w:rPr>
          <w:color w:val="00274C"/>
          <w:sz w:val="20"/>
          <w:szCs w:val="20"/>
          <w:u w:val="none"/>
        </w:rPr>
        <w:t xml:space="preserve">Do not exceed the </w:t>
      </w:r>
      <w:r>
        <w:rPr>
          <w:b/>
          <w:bCs/>
          <w:color w:val="00274C"/>
          <w:sz w:val="20"/>
          <w:szCs w:val="20"/>
          <w:u w:val="none"/>
        </w:rPr>
        <w:t xml:space="preserve">MAX</w:t>
      </w:r>
      <w:r>
        <w:rPr>
          <w:color w:val="00274C"/>
          <w:sz w:val="20"/>
          <w:szCs w:val="20"/>
          <w:u w:val="none"/>
        </w:rPr>
        <w:t xml:space="preserve"> level because a sudden increase in engine rpm could be caused by its combustion.</w:t>
      </w:r>
    </w:p>
    <w:p>
      <w:pPr>
        <w:numPr>
          <w:ilvl w:val="0"/>
          <w:numId w:val="19655"/>
        </w:numPr>
        <w:spacing w:before="0" w:after="0" w:line="240" w:lineRule="auto"/>
        <w:jc w:val="left"/>
        <w:rPr>
          <w:color w:val="00274C"/>
          <w:sz w:val="20"/>
          <w:szCs w:val="20"/>
        </w:rPr>
      </w:pPr>
      <w:r>
        <w:rPr>
          <w:color w:val="00274C"/>
          <w:sz w:val="20"/>
          <w:szCs w:val="20"/>
          <w:u w:val="none"/>
        </w:rPr>
        <w:t xml:space="preserve">Use only the recommended oil to ensure adequate protection, efficiency and service life of the engine.</w:t>
      </w:r>
    </w:p>
    <w:p>
      <w:pPr>
        <w:numPr>
          <w:ilvl w:val="0"/>
          <w:numId w:val="19655"/>
        </w:numPr>
        <w:spacing w:before="0" w:after="0" w:line="240" w:lineRule="auto"/>
        <w:jc w:val="left"/>
        <w:rPr>
          <w:color w:val="00274C"/>
          <w:sz w:val="20"/>
          <w:szCs w:val="20"/>
        </w:rPr>
      </w:pPr>
      <w:r>
        <w:rPr>
          <w:color w:val="00274C"/>
          <w:sz w:val="20"/>
          <w:szCs w:val="20"/>
          <w:u w:val="none"/>
        </w:rPr>
        <w:t xml:space="preserve">The use of lubricants other than recommended may shorten the engine life.</w:t>
      </w:r>
    </w:p>
    <w:p>
      <w:pPr>
        <w:numPr>
          <w:ilvl w:val="0"/>
          <w:numId w:val="19655"/>
        </w:numPr>
        <w:spacing w:before="0" w:after="0" w:line="240" w:lineRule="auto"/>
        <w:jc w:val="left"/>
        <w:rPr>
          <w:color w:val="00274C"/>
          <w:sz w:val="20"/>
          <w:szCs w:val="20"/>
        </w:rPr>
      </w:pPr>
      <w:r>
        <w:rPr>
          <w:color w:val="00274C"/>
          <w:sz w:val="20"/>
          <w:szCs w:val="20"/>
          <w:u w:val="none"/>
        </w:rPr>
        <w:t xml:space="preserve">Viscosity must be appropriate to the ambient temperature to which the engine is to be exposed.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2556725" name="name49756a3420f8149a5"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44456a3420f8149a2"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9655"/>
        </w:numPr>
        <w:spacing w:before="0" w:after="0" w:line="240" w:lineRule="auto"/>
        <w:jc w:val="left"/>
        <w:rPr>
          <w:color w:val="00274C"/>
          <w:sz w:val="20"/>
          <w:szCs w:val="20"/>
        </w:rPr>
      </w:pPr>
      <w:r>
        <w:rPr>
          <w:color w:val="00274C"/>
          <w:sz w:val="20"/>
          <w:szCs w:val="20"/>
          <w:u w:val="none"/>
        </w:rPr>
        <w:t xml:space="preserve">Prolonged skin contact with the exhausted engine oil can cause cancer of the skin.</w:t>
      </w:r>
    </w:p>
    <w:p>
      <w:pPr>
        <w:numPr>
          <w:ilvl w:val="0"/>
          <w:numId w:val="19655"/>
        </w:numPr>
        <w:spacing w:before="0" w:after="0" w:line="240" w:lineRule="auto"/>
        <w:jc w:val="left"/>
        <w:rPr>
          <w:color w:val="00274C"/>
          <w:sz w:val="20"/>
          <w:szCs w:val="20"/>
        </w:rPr>
      </w:pPr>
      <w:r>
        <w:rPr>
          <w:color w:val="00274C"/>
          <w:sz w:val="20"/>
          <w:szCs w:val="20"/>
          <w:u w:val="none"/>
        </w:rPr>
        <w:t xml:space="preserve">If contact with oil cannot be avoided, thoroughly wash your hands with soap and water as soon as possible.</w:t>
      </w:r>
    </w:p>
    <w:p>
      <w:pPr>
        <w:numPr>
          <w:ilvl w:val="0"/>
          <w:numId w:val="19655"/>
        </w:numPr>
        <w:spacing w:before="0" w:after="0" w:line="240" w:lineRule="auto"/>
        <w:jc w:val="left"/>
        <w:rPr>
          <w:color w:val="00274C"/>
          <w:sz w:val="20"/>
          <w:szCs w:val="20"/>
        </w:rPr>
      </w:pPr>
      <w:r>
        <w:rPr>
          <w:color w:val="00274C"/>
          <w:sz w:val="20"/>
          <w:szCs w:val="20"/>
          <w:u w:val="none"/>
        </w:rPr>
        <w:t xml:space="preserve">For the exhausted oil disposal, refer to the </w:t>
      </w:r>
      <w:r>
        <w:rPr>
          <w:b/>
          <w:bCs/>
          <w:color w:val="00274C"/>
          <w:sz w:val="20"/>
          <w:szCs w:val="20"/>
          <w:u w:val="none"/>
        </w:rPr>
        <w:t xml:space="preserve">Par. </w:t>
      </w:r>
      <w:r>
        <w:rPr>
          <w:color w:val="00274C"/>
          <w:sz w:val="20"/>
          <w:szCs w:val="20"/>
          <w:u w:val="none"/>
        </w:rPr>
        <w:t xml:space="preserve"> </w:t>
      </w:r>
      <w:r>
        <w:rPr>
          <w:b/>
          <w:bCs/>
          <w:color w:val="00274C"/>
          <w:sz w:val="20"/>
          <w:szCs w:val="20"/>
          <w:u w:val="none"/>
        </w:rPr>
        <w:t xml:space="preserve">DISPOSAL and SCRAPPING</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br/>
        <w:t xml:space="preserve">2.4.1 SAE oil classification</w:t>
      </w:r>
    </w:p>
    <w:p>
      <w:pPr>
        <w:numPr>
          <w:ilvl w:val="0"/>
          <w:numId w:val="19655"/>
        </w:numPr>
        <w:spacing w:before="0" w:after="0" w:line="240" w:lineRule="auto"/>
        <w:jc w:val="left"/>
        <w:rPr>
          <w:color w:val="00274C"/>
          <w:sz w:val="20"/>
          <w:szCs w:val="20"/>
        </w:rPr>
      </w:pPr>
      <w:r>
        <w:rPr>
          <w:color w:val="00274C"/>
          <w:sz w:val="20"/>
          <w:szCs w:val="20"/>
          <w:u w:val="none"/>
        </w:rPr>
        <w:t xml:space="preserve">In the SAE classification, oils are identified according to viscosity without considering any other qualitative characteristic.</w:t>
      </w:r>
    </w:p>
    <w:p>
      <w:pPr>
        <w:numPr>
          <w:ilvl w:val="0"/>
          <w:numId w:val="19655"/>
        </w:numPr>
        <w:spacing w:before="0" w:after="0" w:line="240" w:lineRule="auto"/>
        <w:jc w:val="left"/>
        <w:rPr>
          <w:color w:val="00274C"/>
          <w:sz w:val="20"/>
          <w:szCs w:val="20"/>
        </w:rPr>
      </w:pPr>
      <w:r>
        <w:rPr>
          <w:color w:val="00274C"/>
          <w:sz w:val="20"/>
          <w:szCs w:val="20"/>
          <w:u w:val="none"/>
        </w:rPr>
        <w:t xml:space="preserve">The code is composed of two numbers, which indicate, and must correspond to, the ambient temperature in which the engine operates, the first number refers to the viscosity when cold, for use during winter (" </w:t>
      </w:r>
      <w:r>
        <w:rPr>
          <w:b/>
          <w:bCs/>
          <w:color w:val="00274C"/>
          <w:sz w:val="20"/>
          <w:szCs w:val="20"/>
          <w:u w:val="none"/>
        </w:rPr>
        <w:t xml:space="preserve">W</w:t>
      </w:r>
      <w:r>
        <w:rPr>
          <w:color w:val="00274C"/>
          <w:sz w:val="20"/>
          <w:szCs w:val="20"/>
          <w:u w:val="none"/>
        </w:rPr>
        <w:t xml:space="preserve"> "), while the second number is for viscosity at high temperatures.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Use oil viscosity based on the experienced air temperature range during the period between oil changes as indicated</w:t>
      </w:r>
    </w:p>
    <w:p>
      <w:pPr>
        <w:widowControl w:val="on"/>
        <w:pBdr/>
        <w:spacing w:before="0" w:after="0" w:line="262" w:lineRule="auto"/>
        <w:ind w:left="0" w:right="0"/>
        <w:jc w:val="left"/>
      </w:pPr>
      <w:r>
        <w:rPr>
          <w:color w:val="00274C"/>
          <w:sz w:val="20"/>
          <w:szCs w:val="20"/>
          <w:u w:val="none"/>
        </w:rPr>
        <w:t xml:space="preserve">in the table below.</w:t>
      </w:r>
    </w:p>
    <w:p>
      <w:pPr>
        <w:widowControl w:val="on"/>
        <w:pBdr/>
        <w:spacing w:before="0" w:after="0" w:line="262" w:lineRule="auto"/>
        <w:ind w:left="0" w:right="0"/>
        <w:jc w:val="left"/>
      </w:pPr>
      <w:r>
        <w:rPr>
          <w:b/>
          <w:bCs/>
          <w:color w:val="00274C"/>
          <w:sz w:val="20"/>
          <w:szCs w:val="20"/>
          <w:u w:val="none"/>
        </w:rPr>
        <w:t xml:space="preserve">Rehlko X-treme 10W-40 formula pro; X-treme 10W-40; X-treme 5W-40 oil are preferred:</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72421097" name="name76136a3420f81fc17" descr="Rehlko_Xtreme%2520Conditions%252010w-40%2520Oil%2520-%2520EMEA%25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EMEA%2520-1.jpg"/>
                          <pic:cNvPicPr/>
                        </pic:nvPicPr>
                        <pic:blipFill>
                          <a:blip r:embed="rId67996a3420f81fc14"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24065477" name="name41046a3420f826257" descr="Rehlko_Extreme%2520Conditions%25205W40%2520Oil%2520-%2520NA%2520-%25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eme%2520Conditions%25205W40%2520Oil%2520-%2520NA%2520-%25202.jpg"/>
                          <pic:cNvPicPr/>
                        </pic:nvPicPr>
                        <pic:blipFill>
                          <a:blip r:embed="rId97726a3420f826254"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25"/>
              </w:rPr>
              <w:drawing>
                <wp:inline distT="0" distB="0" distL="0" distR="0">
                  <wp:extent cx="2865600" cy="4118400"/>
                  <wp:effectExtent b="0" l="0" r="0" t="0"/>
                  <wp:docPr id="28346152" name="name36556a3420f82e594" descr="Rehlko_Xtreme%2520Conditions%252010w-40%2520Oil%2520-%2520INDI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INDIA2.jpg"/>
                          <pic:cNvPicPr/>
                        </pic:nvPicPr>
                        <pic:blipFill>
                          <a:blip r:embed="rId43506a3420f82e592" cstate="print"/>
                          <a:stretch>
                            <a:fillRect/>
                          </a:stretch>
                        </pic:blipFill>
                        <pic:spPr>
                          <a:xfrm>
                            <a:off x="0" y="0"/>
                            <a:ext cx="2865600" cy="4118400"/>
                          </a:xfrm>
                          <a:prstGeom prst="rect">
                            <a:avLst/>
                          </a:prstGeom>
                          <a:ln w="0">
                            <a:noFill/>
                          </a:ln>
                        </pic:spPr>
                      </pic:pic>
                    </a:graphicData>
                  </a:graphic>
                </wp:inline>
              </w:drawing>
            </w:r>
          </w:p>
        </w:tc>
      </w:tr>
    </w:tbl>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Oils meeting the following specifications are also recommended.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2.2</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RECCOMENDED OIL</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TCR STAGE-V</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(*1)</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TCR TIER IV FINAL</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TCR/D TIER III o NON CERTIFICATO</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(*3)</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WITH SPECIFICATIONS</w:t>
            </w:r>
            <w:r>
              <w:rPr>
                <w:b/>
                <w:bCs/>
                <w:color w:val="FFFFFF"/>
                <w:position w:val="-2"/>
                <w:sz w:val="20"/>
                <w:szCs w:val="20"/>
                <w:u w:val="none"/>
                <w:shd w:val="clear" w:color="auto" w:fill="1985FF"/>
              </w:rPr>
              <w:t xml:space="preserve"> </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API</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CJ-4 Low S.A.P.S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CK-4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CJ-4 Low S.A.P.S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CK-4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CI-4 Plus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CI-4</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CH-4</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ACEA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E6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E6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E7</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VISCOSITY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0w-40 (-40°C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5w-40 (-30°C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10w-40 (-25°C ÷ +50°C)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0w-40 (-40°C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5w-40 (-30°C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10w-40 (-25°C ÷ +50°C)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0w-40 (-40°C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5w-40 (-30°C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10w-40 (-25°C ÷ +50°C)</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19655"/>
        </w:numPr>
        <w:spacing w:before="0" w:after="0" w:line="240" w:lineRule="auto"/>
        <w:jc w:val="left"/>
        <w:rPr>
          <w:color w:val="00274C"/>
          <w:sz w:val="20"/>
          <w:szCs w:val="20"/>
        </w:rPr>
      </w:pPr>
      <w:r>
        <w:rPr>
          <w:color w:val="00274C"/>
          <w:sz w:val="20"/>
          <w:szCs w:val="20"/>
          <w:u w:val="none"/>
        </w:rPr>
        <w:t xml:space="preserve">Low S.A.P.S. technology (oil with low Sulfated Ash, Phosphorus, Sulfur content) keeps catalyst in good working conditions. The presence of sulfated ash, phosphorus and sulfur causes with time the catalyst clogging and its consequent inefficiency.</w:t>
      </w:r>
    </w:p>
    <w:p>
      <w:pPr>
        <w:numPr>
          <w:ilvl w:val="0"/>
          <w:numId w:val="19655"/>
        </w:numPr>
        <w:spacing w:before="0" w:after="0" w:line="240" w:lineRule="auto"/>
        <w:jc w:val="left"/>
        <w:rPr>
          <w:color w:val="00274C"/>
          <w:sz w:val="20"/>
          <w:szCs w:val="20"/>
        </w:rPr>
      </w:pPr>
      <w:r>
        <w:rPr>
          <w:color w:val="00274C"/>
          <w:sz w:val="20"/>
          <w:szCs w:val="20"/>
          <w:u w:val="none"/>
        </w:rPr>
        <w:t xml:space="preserve">For Mid S.A.P.S oil sequence the sulfated ash level is the same as API CJ-4 ≤ 1.0% but as per ACEA standardization those oils are referenced as mid SAPS.</w:t>
      </w:r>
    </w:p>
    <w:p>
      <w:pPr>
        <w:numPr>
          <w:ilvl w:val="0"/>
          <w:numId w:val="19655"/>
        </w:numPr>
        <w:spacing w:before="0" w:after="0" w:line="240" w:lineRule="auto"/>
        <w:jc w:val="left"/>
        <w:rPr>
          <w:color w:val="00274C"/>
          <w:sz w:val="20"/>
          <w:szCs w:val="20"/>
        </w:rPr>
      </w:pPr>
      <w:r>
        <w:rPr>
          <w:color w:val="00274C"/>
          <w:sz w:val="20"/>
          <w:szCs w:val="20"/>
          <w:u w:val="none"/>
        </w:rPr>
        <w:t xml:space="preserve">Filtration of oils is critical to proper operation and lubrication; always change filters regularly as specified in this manual.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(*1)</w:t>
      </w:r>
      <w:r>
        <w:rPr>
          <w:b/>
          <w:bCs/>
          <w:color w:val="00274C"/>
          <w:sz w:val="20"/>
          <w:szCs w:val="20"/>
          <w:u w:val="none"/>
        </w:rPr>
        <w:t xml:space="preserve"> NOTE</w:t>
      </w:r>
      <w:r>
        <w:rPr>
          <w:color w:val="00274C"/>
          <w:sz w:val="20"/>
          <w:szCs w:val="20"/>
          <w:u w:val="none"/>
        </w:rPr>
        <w:t xml:space="preserve"> : Do NOT use fuel with sulphur content above 15ppm.</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 - On all engines compliant with Stage-V emission regulation (engines with DPF device), the oil to use must comply with the specification API CJ-4 Low S.A.P.S or ACEA E6 Low S.A.P.S.</w:t>
      </w:r>
    </w:p>
    <w:p>
      <w:pPr>
        <w:widowControl w:val="on"/>
        <w:pBdr/>
        <w:spacing w:before="0" w:after="0" w:line="262" w:lineRule="auto"/>
        <w:ind w:left="0" w:right="0"/>
        <w:jc w:val="left"/>
      </w:pPr>
      <w:r>
        <w:rPr>
          <w:color w:val="00274C"/>
          <w:sz w:val="20"/>
          <w:szCs w:val="20"/>
          <w:u w:val="none"/>
        </w:rPr>
        <w:br/>
        <w:t xml:space="preserve"> </w:t>
      </w:r>
    </w:p>
    <w:p>
      <w:pPr>
        <w:widowControl w:val="on"/>
        <w:pBdr/>
        <w:spacing w:before="0" w:after="0" w:line="262" w:lineRule="auto"/>
        <w:ind w:left="0" w:right="0"/>
        <w:jc w:val="left"/>
      </w:pPr>
      <w:r>
        <w:rPr>
          <w:b/>
          <w:bCs/>
          <w:color w:val="00274C"/>
          <w:sz w:val="20"/>
          <w:szCs w:val="20"/>
          <w:u w:val="none"/>
        </w:rPr>
        <w:t xml:space="preserve">(*3) -</w:t>
      </w:r>
      <w:r>
        <w:rPr>
          <w:color w:val="00274C"/>
          <w:sz w:val="20"/>
          <w:szCs w:val="20"/>
          <w:u w:val="none"/>
        </w:rPr>
        <w:t xml:space="preserve"> </w:t>
      </w:r>
      <w:r>
        <w:rPr>
          <w:b/>
          <w:bCs/>
          <w:color w:val="00274C"/>
          <w:sz w:val="20"/>
          <w:szCs w:val="20"/>
          <w:u w:val="none"/>
        </w:rPr>
        <w:t xml:space="preserve">NOTE</w:t>
      </w:r>
      <w:r>
        <w:rPr>
          <w:color w:val="00274C"/>
          <w:sz w:val="20"/>
          <w:szCs w:val="20"/>
          <w:u w:val="none"/>
        </w:rPr>
        <w:t xml:space="preserve"> : Do NOT use fuel with sulphur content above 500ppm.</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(*3) -</w:t>
      </w:r>
      <w:r>
        <w:rPr>
          <w:color w:val="00274C"/>
          <w:sz w:val="20"/>
          <w:szCs w:val="20"/>
          <w:u w:val="none"/>
        </w:rPr>
        <w:t xml:space="preserve"> </w:t>
      </w:r>
      <w:r>
        <w:rPr>
          <w:b/>
          <w:bCs/>
          <w:color w:val="00274C"/>
          <w:sz w:val="20"/>
          <w:szCs w:val="20"/>
          <w:u w:val="none"/>
        </w:rPr>
        <w:t xml:space="preserve">NOTE</w:t>
      </w:r>
      <w:r>
        <w:rPr>
          <w:color w:val="00274C"/>
          <w:sz w:val="20"/>
          <w:szCs w:val="20"/>
          <w:u w:val="none"/>
        </w:rPr>
        <w:t xml:space="preserve"> : Low S.A.P.S. oils, sulfate ashes &lt;1% may not be used with fuels with a sulfur content &gt;50ppm.</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Fuel</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93670828" name="name88326a3420f83939c"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38286a3420f839399"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19655"/>
              </w:numPr>
              <w:spacing w:before="0" w:after="0" w:line="262" w:lineRule="auto"/>
              <w:jc w:val="left"/>
              <w:rPr>
                <w:color w:val="00274C"/>
                <w:sz w:val="20"/>
                <w:szCs w:val="20"/>
              </w:rPr>
            </w:pPr>
            <w:r>
              <w:rPr>
                <w:color w:val="00274C"/>
                <w:position w:val="-2"/>
                <w:sz w:val="20"/>
                <w:szCs w:val="20"/>
                <w:u w:val="none"/>
              </w:rPr>
              <w:t xml:space="preserve">Use of other types of fuel could damage the engine. Do not use dirty diesel fuel or mixtures of diesel fuel and water since this will cause serious engine faults.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0"/>
              </w:rPr>
              <w:drawing>
                <wp:inline distT="0" distB="0" distL="0" distR="0">
                  <wp:extent cx="324000" cy="324000"/>
                  <wp:effectExtent b="0" l="0" r="0" t="0"/>
                  <wp:docPr id="81435438" name="name85506a3420f8407e3"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81476a3420f8407e0"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Warning</w:t>
            </w:r>
          </w:p>
          <w:p>
            <w:pPr>
              <w:numPr>
                <w:ilvl w:val="0"/>
                <w:numId w:val="19655"/>
              </w:numPr>
              <w:spacing w:before="0" w:after="0" w:line="262" w:lineRule="auto"/>
              <w:jc w:val="left"/>
              <w:rPr>
                <w:color w:val="00274C"/>
                <w:sz w:val="20"/>
                <w:szCs w:val="20"/>
              </w:rPr>
            </w:pPr>
            <w:r>
              <w:rPr>
                <w:color w:val="00274C"/>
                <w:position w:val="0"/>
                <w:sz w:val="20"/>
                <w:szCs w:val="20"/>
                <w:u w:val="none"/>
              </w:rPr>
              <w:t xml:space="preserve">Clean fuel prevents the fuel injectors from clogging. Immediately clean up any spillage during refuelling. </w:t>
            </w:r>
          </w:p>
          <w:p>
            <w:pPr>
              <w:numPr>
                <w:ilvl w:val="0"/>
                <w:numId w:val="19655"/>
              </w:numPr>
              <w:spacing w:before="0" w:after="0" w:line="262" w:lineRule="auto"/>
              <w:jc w:val="left"/>
              <w:rPr>
                <w:color w:val="00274C"/>
                <w:sz w:val="20"/>
                <w:szCs w:val="20"/>
              </w:rPr>
            </w:pPr>
            <w:r>
              <w:rPr>
                <w:color w:val="00274C"/>
                <w:position w:val="0"/>
                <w:sz w:val="20"/>
                <w:szCs w:val="20"/>
                <w:u w:val="none"/>
              </w:rPr>
              <w:t xml:space="preserve">Never store diesel fuel in galvanized containers (i.e. coated with zinc). Diesel fuel and the galvanized coating react chemically to each other, producing flaking that quickly clogs filters or causes fuel pump and/or injector failure.</w:t>
            </w:r>
          </w:p>
          <w:p>
            <w:pPr>
              <w:numPr>
                <w:ilvl w:val="0"/>
                <w:numId w:val="19655"/>
              </w:numPr>
              <w:spacing w:before="0" w:after="0" w:line="262" w:lineRule="auto"/>
              <w:jc w:val="left"/>
              <w:rPr>
                <w:color w:val="00274C"/>
                <w:sz w:val="20"/>
                <w:szCs w:val="20"/>
              </w:rPr>
            </w:pPr>
            <w:r>
              <w:rPr>
                <w:color w:val="00274C"/>
                <w:position w:val="0"/>
                <w:sz w:val="20"/>
                <w:szCs w:val="20"/>
                <w:u w:val="none"/>
              </w:rPr>
              <w:t xml:space="preserve">Any failure resulting from the use of fuel other than  </w:t>
            </w:r>
            <w:r>
              <w:rPr>
                <w:b/>
                <w:bCs/>
                <w:color w:val="00274C"/>
                <w:position w:val="0"/>
                <w:sz w:val="20"/>
                <w:szCs w:val="20"/>
                <w:u w:val="none"/>
              </w:rPr>
              <w:t xml:space="preserve">Tab. 2.3</w:t>
            </w:r>
            <w:r>
              <w:rPr>
                <w:color w:val="00274C"/>
                <w:position w:val="0"/>
                <w:sz w:val="20"/>
                <w:szCs w:val="20"/>
                <w:u w:val="none"/>
              </w:rPr>
              <w:t xml:space="preserve">  will not be covered by warranty.</w:t>
            </w:r>
          </w:p>
        </w:tc>
      </w:tr>
      <w:tr>
        <w:trPr>
          <w:trHeight w:val="0" w:hRule="atLeast"/>
        </w:trPr>
        <w:tc>
          <w:tcPr>
            <w:tcW w:w="0" w:type="auto"/>
            <w:gridSpan w:val="3"/>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Cetane number of 40 minimum. Cetane number greater than 47 is preferred, especially for temperatures below –20 °C (–4 °F) or elevations above 1675 m (5500 ft.).</w:t>
            </w:r>
          </w:p>
          <w:p/>
          <w:p/>
          <w:p>
            <w:pPr>
              <w:widowControl w:val="on"/>
              <w:pBdr/>
              <w:spacing w:before="0" w:after="0" w:line="262" w:lineRule="auto"/>
              <w:ind w:left="0" w:right="0"/>
              <w:jc w:val="left"/>
              <w:textAlignment w:val="center"/>
            </w:pPr>
            <w:r>
              <w:rPr>
                <w:b/>
                <w:bCs/>
                <w:color w:val="00274C"/>
                <w:position w:val="-2"/>
                <w:sz w:val="20"/>
                <w:szCs w:val="20"/>
                <w:u w:val="none"/>
              </w:rPr>
              <w:t xml:space="preserve">Highly Regulated Engines (EU, USA, CANADA, JAPAN, CHINA, INDIA)</w:t>
            </w:r>
          </w:p>
          <w:p>
            <w:pPr>
              <w:numPr>
                <w:ilvl w:val="0"/>
                <w:numId w:val="19655"/>
              </w:numPr>
              <w:spacing w:before="0" w:after="0" w:line="262" w:lineRule="auto"/>
              <w:jc w:val="left"/>
              <w:rPr>
                <w:color w:val="00274C"/>
                <w:sz w:val="20"/>
                <w:szCs w:val="20"/>
              </w:rPr>
            </w:pPr>
            <w:r>
              <w:rPr>
                <w:color w:val="00274C"/>
                <w:position w:val="-2"/>
                <w:sz w:val="20"/>
                <w:szCs w:val="20"/>
                <w:u w:val="none"/>
              </w:rPr>
              <w:t xml:space="preserve">EU EN 590</w:t>
            </w:r>
          </w:p>
          <w:p>
            <w:pPr>
              <w:numPr>
                <w:ilvl w:val="0"/>
                <w:numId w:val="19655"/>
              </w:numPr>
              <w:spacing w:before="0" w:after="0" w:line="262" w:lineRule="auto"/>
              <w:jc w:val="left"/>
              <w:rPr>
                <w:color w:val="00274C"/>
                <w:sz w:val="20"/>
                <w:szCs w:val="20"/>
              </w:rPr>
            </w:pPr>
            <w:r>
              <w:rPr>
                <w:color w:val="00274C"/>
                <w:position w:val="-2"/>
                <w:sz w:val="20"/>
                <w:szCs w:val="20"/>
                <w:u w:val="none"/>
              </w:rPr>
              <w:t xml:space="preserve">North America ASTM D975 No. 2-D S15; No. 1-D S15</w:t>
            </w:r>
          </w:p>
          <w:p>
            <w:pPr>
              <w:numPr>
                <w:ilvl w:val="0"/>
                <w:numId w:val="19655"/>
              </w:numPr>
              <w:spacing w:before="0" w:after="0" w:line="262" w:lineRule="auto"/>
              <w:jc w:val="left"/>
              <w:rPr>
                <w:color w:val="00274C"/>
                <w:sz w:val="20"/>
                <w:szCs w:val="20"/>
              </w:rPr>
            </w:pPr>
            <w:r>
              <w:rPr>
                <w:color w:val="00274C"/>
                <w:position w:val="-2"/>
                <w:sz w:val="20"/>
                <w:szCs w:val="20"/>
                <w:u w:val="none"/>
              </w:rPr>
              <w:t xml:space="preserve">Japan JIS K 2204 No. 1; No. 2</w:t>
            </w:r>
          </w:p>
          <w:p>
            <w:pPr>
              <w:numPr>
                <w:ilvl w:val="0"/>
                <w:numId w:val="19655"/>
              </w:numPr>
              <w:spacing w:before="0" w:after="0" w:line="262" w:lineRule="auto"/>
              <w:jc w:val="left"/>
              <w:rPr>
                <w:color w:val="00274C"/>
                <w:sz w:val="20"/>
                <w:szCs w:val="20"/>
              </w:rPr>
            </w:pPr>
            <w:r>
              <w:rPr>
                <w:color w:val="00274C"/>
                <w:position w:val="-2"/>
                <w:sz w:val="20"/>
                <w:szCs w:val="20"/>
                <w:u w:val="none"/>
              </w:rPr>
              <w:t xml:space="preserve">India BS-V ULSD; BS-VI ULSD</w:t>
            </w:r>
          </w:p>
          <w:p>
            <w:pPr>
              <w:numPr>
                <w:ilvl w:val="0"/>
                <w:numId w:val="19655"/>
              </w:numPr>
              <w:spacing w:before="0" w:after="0" w:line="262" w:lineRule="auto"/>
              <w:jc w:val="left"/>
              <w:rPr>
                <w:color w:val="00274C"/>
                <w:sz w:val="20"/>
                <w:szCs w:val="20"/>
              </w:rPr>
            </w:pPr>
            <w:r>
              <w:rPr>
                <w:color w:val="00274C"/>
                <w:position w:val="-2"/>
                <w:sz w:val="20"/>
                <w:szCs w:val="20"/>
                <w:u w:val="none"/>
              </w:rPr>
              <w:t xml:space="preserve">China GB 19147-2016 ULSD; GB 17691—2018 ULSD</w:t>
            </w:r>
          </w:p>
          <w:p>
            <w:pPr>
              <w:numPr>
                <w:ilvl w:val="0"/>
                <w:numId w:val="19655"/>
              </w:numPr>
              <w:spacing w:before="0" w:after="0" w:line="262" w:lineRule="auto"/>
              <w:jc w:val="left"/>
              <w:rPr>
                <w:color w:val="00274C"/>
                <w:sz w:val="20"/>
                <w:szCs w:val="20"/>
              </w:rPr>
            </w:pPr>
            <w:r>
              <w:rPr>
                <w:color w:val="00274C"/>
                <w:position w:val="-2"/>
                <w:sz w:val="20"/>
                <w:szCs w:val="20"/>
                <w:u w:val="none"/>
              </w:rPr>
              <w:t xml:space="preserve">HVO EN 15940 or ASTM D975</w:t>
            </w:r>
          </w:p>
          <w:p>
            <w:pPr>
              <w:numPr>
                <w:ilvl w:val="0"/>
                <w:numId w:val="19655"/>
              </w:numPr>
              <w:spacing w:before="0" w:after="0" w:line="262" w:lineRule="auto"/>
              <w:jc w:val="left"/>
              <w:rPr>
                <w:color w:val="00274C"/>
                <w:sz w:val="20"/>
                <w:szCs w:val="20"/>
              </w:rPr>
            </w:pPr>
            <w:r>
              <w:rPr>
                <w:color w:val="00274C"/>
                <w:position w:val="-2"/>
                <w:sz w:val="20"/>
                <w:szCs w:val="20"/>
                <w:u w:val="none"/>
              </w:rPr>
              <w:t xml:space="preserve">Military NATO fuel F-54 S &lt; 10ppm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Less or Not Regulated Engines (Rest of the World and Military applications) </w:t>
            </w:r>
          </w:p>
          <w:p>
            <w:pPr>
              <w:numPr>
                <w:ilvl w:val="0"/>
                <w:numId w:val="19655"/>
              </w:numPr>
              <w:spacing w:before="0" w:after="0" w:line="262" w:lineRule="auto"/>
              <w:jc w:val="left"/>
              <w:rPr>
                <w:color w:val="00274C"/>
                <w:sz w:val="20"/>
                <w:szCs w:val="20"/>
              </w:rPr>
            </w:pPr>
            <w:r>
              <w:rPr>
                <w:color w:val="00274C"/>
                <w:position w:val="-2"/>
                <w:sz w:val="20"/>
                <w:szCs w:val="20"/>
                <w:u w:val="none"/>
              </w:rPr>
              <w:t xml:space="preserve">Equivalent to all above specification</w:t>
            </w:r>
          </w:p>
          <w:p>
            <w:pPr>
              <w:numPr>
                <w:ilvl w:val="0"/>
                <w:numId w:val="19655"/>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500ppm</w:t>
            </w:r>
          </w:p>
          <w:p>
            <w:pPr>
              <w:numPr>
                <w:ilvl w:val="0"/>
                <w:numId w:val="19655"/>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2000ppm</w:t>
            </w:r>
          </w:p>
          <w:p>
            <w:pPr>
              <w:numPr>
                <w:ilvl w:val="0"/>
                <w:numId w:val="19655"/>
              </w:numPr>
              <w:spacing w:before="0" w:after="0" w:line="262" w:lineRule="auto"/>
              <w:jc w:val="left"/>
              <w:rPr>
                <w:color w:val="00274C"/>
                <w:sz w:val="20"/>
                <w:szCs w:val="20"/>
              </w:rPr>
            </w:pPr>
            <w:r>
              <w:rPr>
                <w:color w:val="00274C"/>
                <w:position w:val="-2"/>
                <w:sz w:val="20"/>
                <w:szCs w:val="20"/>
                <w:u w:val="none"/>
              </w:rPr>
              <w:t xml:space="preserve">F-34/F-35 (kerosene NATO designation) </w:t>
            </w:r>
            <w:r>
              <w:rPr>
                <w:b/>
                <w:bCs/>
                <w:color w:val="00274C"/>
                <w:position w:val="-2"/>
                <w:sz w:val="20"/>
                <w:szCs w:val="20"/>
                <w:u w:val="none"/>
              </w:rPr>
              <w:t xml:space="preserve"> (1)</w:t>
            </w:r>
          </w:p>
          <w:p>
            <w:pPr>
              <w:numPr>
                <w:ilvl w:val="0"/>
                <w:numId w:val="19655"/>
              </w:numPr>
              <w:spacing w:before="0" w:after="0" w:line="262" w:lineRule="auto"/>
              <w:jc w:val="left"/>
              <w:rPr>
                <w:color w:val="00274C"/>
                <w:sz w:val="20"/>
                <w:szCs w:val="20"/>
              </w:rPr>
            </w:pPr>
            <w:r>
              <w:rPr>
                <w:color w:val="00274C"/>
                <w:position w:val="-2"/>
                <w:sz w:val="20"/>
                <w:szCs w:val="20"/>
                <w:u w:val="none"/>
              </w:rPr>
              <w:t xml:space="preserve">F-44 (kerosene, NATO designation) </w:t>
            </w:r>
            <w:r>
              <w:rPr>
                <w:b/>
                <w:bCs/>
                <w:color w:val="00274C"/>
                <w:position w:val="-2"/>
                <w:sz w:val="20"/>
                <w:szCs w:val="20"/>
                <w:u w:val="none"/>
              </w:rPr>
              <w:t xml:space="preserve"> (1)</w:t>
            </w:r>
          </w:p>
          <w:p>
            <w:pPr>
              <w:numPr>
                <w:ilvl w:val="0"/>
                <w:numId w:val="19655"/>
              </w:numPr>
              <w:spacing w:before="0" w:after="0" w:line="262" w:lineRule="auto"/>
              <w:jc w:val="left"/>
              <w:rPr>
                <w:color w:val="00274C"/>
                <w:sz w:val="20"/>
                <w:szCs w:val="20"/>
              </w:rPr>
            </w:pPr>
            <w:r>
              <w:rPr>
                <w:color w:val="00274C"/>
                <w:position w:val="-2"/>
                <w:sz w:val="20"/>
                <w:szCs w:val="20"/>
                <w:u w:val="none"/>
              </w:rPr>
              <w:t xml:space="preserve">F-63 (kerosene, NATO designation, equivalent to F-34/F-35 with additives (1)</w:t>
            </w:r>
          </w:p>
          <w:p>
            <w:pPr>
              <w:numPr>
                <w:ilvl w:val="0"/>
                <w:numId w:val="19655"/>
              </w:numPr>
              <w:spacing w:before="0" w:after="0" w:line="262" w:lineRule="auto"/>
              <w:jc w:val="left"/>
              <w:rPr>
                <w:color w:val="00274C"/>
                <w:sz w:val="20"/>
                <w:szCs w:val="20"/>
              </w:rPr>
            </w:pPr>
            <w:r>
              <w:rPr>
                <w:color w:val="00274C"/>
                <w:position w:val="-2"/>
                <w:sz w:val="20"/>
                <w:szCs w:val="20"/>
                <w:u w:val="none"/>
              </w:rPr>
              <w:t xml:space="preserve">JP-8 (kerosene, US military designation) </w:t>
            </w:r>
            <w:r>
              <w:rPr>
                <w:b/>
                <w:bCs/>
                <w:color w:val="00274C"/>
                <w:position w:val="-2"/>
                <w:sz w:val="20"/>
                <w:szCs w:val="20"/>
                <w:u w:val="none"/>
              </w:rPr>
              <w:t xml:space="preserve"> (1)</w:t>
            </w:r>
          </w:p>
          <w:p>
            <w:pPr>
              <w:numPr>
                <w:ilvl w:val="0"/>
                <w:numId w:val="19655"/>
              </w:numPr>
              <w:spacing w:before="0" w:after="0" w:line="262" w:lineRule="auto"/>
              <w:jc w:val="left"/>
              <w:rPr>
                <w:color w:val="00274C"/>
                <w:sz w:val="20"/>
                <w:szCs w:val="20"/>
              </w:rPr>
            </w:pPr>
            <w:r>
              <w:rPr>
                <w:color w:val="00274C"/>
                <w:position w:val="-2"/>
                <w:sz w:val="20"/>
                <w:szCs w:val="20"/>
                <w:u w:val="none"/>
              </w:rPr>
              <w:t xml:space="preserve">JP-5 (kerosene, US military designation) </w:t>
            </w:r>
            <w:r>
              <w:rPr>
                <w:b/>
                <w:bCs/>
                <w:color w:val="00274C"/>
                <w:position w:val="-2"/>
                <w:sz w:val="20"/>
                <w:szCs w:val="20"/>
                <w:u w:val="none"/>
              </w:rPr>
              <w:t xml:space="preserve"> (1)</w:t>
            </w:r>
          </w:p>
          <w:p>
            <w:pPr>
              <w:numPr>
                <w:ilvl w:val="0"/>
                <w:numId w:val="19655"/>
              </w:numPr>
              <w:spacing w:before="0" w:after="0" w:line="262" w:lineRule="auto"/>
              <w:jc w:val="left"/>
              <w:rPr>
                <w:color w:val="00274C"/>
                <w:sz w:val="20"/>
                <w:szCs w:val="20"/>
              </w:rPr>
            </w:pPr>
            <w:r>
              <w:rPr>
                <w:color w:val="00274C"/>
                <w:position w:val="-2"/>
                <w:sz w:val="20"/>
                <w:szCs w:val="20"/>
                <w:u w:val="none"/>
              </w:rPr>
              <w:t xml:space="preserve">Jet A / A1 (kerosene for civil aviation) </w:t>
            </w:r>
            <w:r>
              <w:rPr>
                <w:b/>
                <w:bCs/>
                <w:color w:val="00274C"/>
                <w:position w:val="-2"/>
                <w:sz w:val="20"/>
                <w:szCs w:val="20"/>
                <w:u w:val="none"/>
              </w:rPr>
              <w:t xml:space="preserve"> (1)</w:t>
            </w:r>
          </w:p>
          <w:p/>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 Operations with Jet Fuels: The jet fuels can be used but only adopting an additional fuel filter with lubricity doser. Because of lower density and greater leak fuel volume due to lower viscosity, depending on the engine speed and torque, a power loss up to 10% is possible. There are some problematical fuel proprieties amongst the listed jet fuels (viscosity, lubricating capacities and low boiling point). A slight increase in wear in the injection system is to be expected which can lead to a statistically shorter life of these components. Sulphur content must be below 2000ppm.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2.5.1 Fuel Additives</w:t>
            </w:r>
          </w:p>
          <w:p>
            <w:pPr>
              <w:widowControl w:val="on"/>
              <w:pBdr/>
              <w:spacing w:before="0" w:after="0" w:line="262" w:lineRule="auto"/>
              <w:ind w:left="0" w:right="0"/>
              <w:jc w:val="left"/>
              <w:textAlignment w:val="center"/>
            </w:pPr>
            <w:r>
              <w:rPr>
                <w:color w:val="00274C"/>
                <w:position w:val="-2"/>
                <w:sz w:val="20"/>
                <w:szCs w:val="20"/>
                <w:u w:val="none"/>
              </w:rPr>
              <w:t xml:space="preserve">To aid in maintaining performance of the engines injection system, Rehlko has developed a family of fuel additives product for North America market.</w:t>
            </w:r>
          </w:p>
          <w:p/>
          <w:p/>
          <w:p>
            <w:pPr>
              <w:widowControl w:val="on"/>
              <w:pBdr/>
              <w:spacing w:before="0" w:after="0" w:line="262" w:lineRule="auto"/>
              <w:ind w:left="0" w:right="0"/>
              <w:jc w:val="left"/>
              <w:textAlignment w:val="center"/>
            </w:pPr>
            <w:r>
              <w:rPr>
                <w:color w:val="00274C"/>
                <w:position w:val="-2"/>
                <w:sz w:val="20"/>
                <w:szCs w:val="20"/>
                <w:u w:val="none"/>
              </w:rPr>
              <w:t xml:space="preserve">The Extra Performance Fuel Additive Arctic Formula a fuel conditioner in winter, the Extra Performance Fuel Additive a fuel injector deposit removal and prevention. See your local Rehlko dealer for availability.</w:t>
            </w:r>
          </w:p>
          <w:p/>
          <w:p/>
          <w:p>
            <w:pPr>
              <w:widowControl w:val="on"/>
              <w:pBdr/>
              <w:spacing w:before="0" w:after="0" w:line="262" w:lineRule="auto"/>
              <w:ind w:left="0" w:right="0"/>
              <w:jc w:val="left"/>
              <w:textAlignment w:val="center"/>
            </w:pPr>
            <w:r>
              <w:rPr>
                <w:b/>
                <w:bCs/>
                <w:color w:val="00274C"/>
                <w:position w:val="-2"/>
                <w:sz w:val="20"/>
                <w:szCs w:val="20"/>
                <w:u w:val="none"/>
              </w:rPr>
              <w:t xml:space="preserve">2.3</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620"/>
                    </w:rPr>
                    <w:drawing>
                      <wp:inline distT="0" distB="0" distL="0" distR="0">
                        <wp:extent cx="1591200" cy="3924000"/>
                        <wp:effectExtent b="0" l="0" r="0" t="0"/>
                        <wp:docPr id="44039608" name="name40406a3420f8490ab" descr="Rehlko_Extra%2520Performance%2520Fuel%2520Additive%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a%2520Performance%2520Fuel%2520Additive%2520-%2520NA.jpg"/>
                                <pic:cNvPicPr/>
                              </pic:nvPicPr>
                              <pic:blipFill>
                                <a:blip r:embed="rId39056a3420f8490a9" cstate="print"/>
                                <a:stretch>
                                  <a:fillRect/>
                                </a:stretch>
                              </pic:blipFill>
                              <pic:spPr>
                                <a:xfrm>
                                  <a:off x="0" y="0"/>
                                  <a:ext cx="1591200" cy="39240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Injector Cleaner Diesel Fuel Additive before filling the tank once a year or every 500hrs with summer or winter grade fuel. Formulated to clean deposits from injectors and provide lubrication to high pressure pump and injectors to reduce wear, increasing fuel quality. Compatible with all exhaust emission system, including diesel particulate filters (DPFs). Follow all recommended instruction on product label.</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 Arctic Formula</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732"/>
                    </w:rPr>
                    <w:drawing>
                      <wp:inline distT="0" distB="0" distL="0" distR="0">
                        <wp:extent cx="1864800" cy="4622400"/>
                        <wp:effectExtent b="0" l="0" r="0" t="0"/>
                        <wp:docPr id="42535443" name="name46346a3420f8528c9" descr="Rehlko_Fuel%2520Additive%2520Arctic%2520Formula%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Fuel%2520Additive%2520Arctic%2520Formula%2520-%2520NA.jpg"/>
                                <pic:cNvPicPr/>
                              </pic:nvPicPr>
                              <pic:blipFill>
                                <a:blip r:embed="rId71876a3420f8528c7" cstate="print"/>
                                <a:stretch>
                                  <a:fillRect/>
                                </a:stretch>
                              </pic:blipFill>
                              <pic:spPr>
                                <a:xfrm>
                                  <a:off x="0" y="0"/>
                                  <a:ext cx="1864800" cy="46224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Extra Performance Fuel Additive Arctic Formula, which contains anti-gel chemistry to treat non-winter grad fuel (No. 2-D in North America) during the cold-weather season. This extends the operability to about 10°C (18°F) below the could point. For operability at even lower temperatures, use winter grade fuel. Treat the fuel when the outside temperature drops below 0°C (32°F). For best results, use untreated fuel and follow all recommended instruction on product label.</w:t>
                  </w:r>
                </w:p>
                <w:p>
                  <w:pPr>
                    <w:widowControl w:val="on"/>
                    <w:pBdr/>
                    <w:spacing w:before="0" w:after="0" w:line="262" w:lineRule="auto"/>
                    <w:ind w:left="0" w:right="0"/>
                    <w:jc w:val="left"/>
                    <w:textAlignment w:val="center"/>
                  </w:pPr>
                  <w:r>
                    <w:rPr>
                      <w:color w:val="00274C"/>
                      <w:position w:val="-2"/>
                      <w:sz w:val="20"/>
                      <w:szCs w:val="20"/>
                      <w:u w:val="none"/>
                    </w:rPr>
                    <w:t xml:space="preserve">Cloud point is the temperature at which wax begins to from in the fuel causing filters to plug.</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Fuel additives with biocide/algaecide functions are allowed in case of storage of fuel in the tank for long periods (one year or more).</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For suggested brands and types contact Rehlko staff</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These additives must be diluted in the fuel following the product prescribed percentages when filling the tank.</w:t>
                  </w:r>
                </w:p>
              </w:tc>
              <w:tc>
                <w:tcPr>
                  <w:gridSpan w:val="1"/>
                  <w:vMerge w:val="continue"/>
                  <w:tcBorders>
                    <w:top w:val="single" w:color="CCCCCC" w:sz="5"/>
                    <w:left w:val="single" w:color="CCCCCC" w:sz="5"/>
                    <w:bottom w:val="single" w:color="CCCCCC" w:sz="5"/>
                    <w:right w:val="single" w:color="CCCCCC" w:sz="5"/>
                  </w:tcBorders>
                </w:tcPr>
                <w:p/>
              </w:tc>
            </w:tr>
          </w:tbl>
          <w:p/>
          <w:p>
            <w:pPr>
              <w:widowControl w:val="on"/>
              <w:pBdr/>
              <w:spacing w:before="0" w:after="0" w:line="262" w:lineRule="auto"/>
              <w:ind w:left="0" w:right="0"/>
              <w:jc w:val="left"/>
              <w:textAlignment w:val="center"/>
            </w:pPr>
            <w:r>
              <w:rPr>
                <w:b/>
                <w:bCs/>
                <w:color w:val="00274C"/>
                <w:position w:val="-2"/>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DEF</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Mar>
              <w:top w:w="150" w:type="dxa"/>
              <w:left w:w="150" w:type="dxa"/>
              <w:bottom w:w="150" w:type="dxa"/>
              <w:right w:w="150" w:type="dxa"/>
            </w:tcMar>
            <w:vAlign w:val="center"/>
          </w:tcPr>
          <w:p>
            <w:pPr>
              <w:numPr>
                <w:ilvl w:val="0"/>
                <w:numId w:val="19657"/>
              </w:numPr>
              <w:spacing w:before="0" w:after="0" w:line="262" w:lineRule="auto"/>
              <w:jc w:val="left"/>
              <w:rPr>
                <w:color w:val="00274C"/>
                <w:sz w:val="20"/>
                <w:szCs w:val="20"/>
              </w:rPr>
            </w:pPr>
            <w:r>
              <w:rPr>
                <w:color w:val="00274C"/>
                <w:position w:val="-2"/>
                <w:sz w:val="20"/>
                <w:szCs w:val="20"/>
                <w:u w:val="none"/>
              </w:rPr>
              <w:t xml:space="preserve">Also known as "AUS 32" in Europe, "DEF" or "Urea Solution" in the USA, it is registered with the “AdBlue </w:t>
            </w:r>
            <w:r>
              <w:rPr>
                <w:color w:val="00274C"/>
                <w:position w:val="3"/>
                <w:sz w:val="17"/>
                <w:szCs w:val="17"/>
                <w:u w:val="none"/>
                <w:vertAlign w:val="superscript"/>
                <w:vertAlign w:val="superscript"/>
              </w:rPr>
              <w:t xml:space="preserve">®</w:t>
            </w:r>
            <w:r>
              <w:rPr>
                <w:color w:val="00274C"/>
                <w:position w:val="-2"/>
                <w:sz w:val="20"/>
                <w:szCs w:val="20"/>
                <w:u w:val="none"/>
              </w:rPr>
              <w:t xml:space="preserve"> ” brand at the Verband der Automobilindustrie (VDA), and must comply with the following ISO standards:</w:t>
            </w:r>
          </w:p>
          <w:p>
            <w:pPr>
              <w:numPr>
                <w:ilvl w:val="0"/>
                <w:numId w:val="19655"/>
              </w:numPr>
              <w:spacing w:before="0" w:after="0" w:line="262" w:lineRule="auto"/>
              <w:jc w:val="left"/>
              <w:rPr>
                <w:color w:val="00274C"/>
                <w:sz w:val="20"/>
                <w:szCs w:val="20"/>
              </w:rPr>
            </w:pPr>
            <w:r>
              <w:rPr>
                <w:color w:val="00274C"/>
                <w:position w:val="-2"/>
                <w:sz w:val="20"/>
                <w:szCs w:val="20"/>
                <w:u w:val="none"/>
              </w:rPr>
              <w:t xml:space="preserve">ISO 22241-1 Quality requirements</w:t>
            </w:r>
          </w:p>
          <w:p>
            <w:pPr>
              <w:numPr>
                <w:ilvl w:val="0"/>
                <w:numId w:val="19655"/>
              </w:numPr>
              <w:spacing w:before="0" w:after="0" w:line="262" w:lineRule="auto"/>
              <w:jc w:val="left"/>
              <w:rPr>
                <w:color w:val="00274C"/>
                <w:sz w:val="20"/>
                <w:szCs w:val="20"/>
              </w:rPr>
            </w:pPr>
            <w:r>
              <w:rPr>
                <w:color w:val="00274C"/>
                <w:position w:val="-2"/>
                <w:sz w:val="20"/>
                <w:szCs w:val="20"/>
                <w:u w:val="none"/>
              </w:rPr>
              <w:t xml:space="preserve">ISO 22241-2 Test Methods</w:t>
            </w:r>
          </w:p>
          <w:p>
            <w:pPr>
              <w:numPr>
                <w:ilvl w:val="0"/>
                <w:numId w:val="19655"/>
              </w:numPr>
              <w:spacing w:before="0" w:after="0" w:line="262" w:lineRule="auto"/>
              <w:jc w:val="left"/>
              <w:rPr>
                <w:color w:val="00274C"/>
                <w:sz w:val="20"/>
                <w:szCs w:val="20"/>
              </w:rPr>
            </w:pPr>
            <w:r>
              <w:rPr>
                <w:color w:val="00274C"/>
                <w:position w:val="-2"/>
                <w:sz w:val="20"/>
                <w:szCs w:val="20"/>
                <w:u w:val="none"/>
              </w:rPr>
              <w:t xml:space="preserve">ISO 22241-3 Handling, transportation and Storing</w:t>
            </w:r>
          </w:p>
          <w:p>
            <w:pPr>
              <w:numPr>
                <w:ilvl w:val="0"/>
                <w:numId w:val="19655"/>
              </w:numPr>
              <w:spacing w:before="0" w:after="0" w:line="262" w:lineRule="auto"/>
              <w:jc w:val="left"/>
              <w:rPr>
                <w:color w:val="00274C"/>
                <w:sz w:val="20"/>
                <w:szCs w:val="20"/>
              </w:rPr>
            </w:pPr>
            <w:r>
              <w:rPr>
                <w:color w:val="00274C"/>
                <w:position w:val="-2"/>
                <w:sz w:val="20"/>
                <w:szCs w:val="20"/>
                <w:u w:val="none"/>
              </w:rPr>
              <w:t xml:space="preserve">ISO 22241-4 Refilling Interface</w:t>
            </w:r>
          </w:p>
          <w:p>
            <w:pPr>
              <w:numPr>
                <w:ilvl w:val="0"/>
                <w:numId w:val="19658"/>
              </w:numPr>
              <w:spacing w:before="0" w:after="0" w:line="262" w:lineRule="auto"/>
              <w:jc w:val="left"/>
              <w:rPr>
                <w:color w:val="00274C"/>
                <w:sz w:val="20"/>
                <w:szCs w:val="20"/>
              </w:rPr>
            </w:pPr>
            <w:r>
              <w:rPr>
                <w:color w:val="00274C"/>
                <w:position w:val="-2"/>
                <w:sz w:val="20"/>
                <w:szCs w:val="20"/>
                <w:u w:val="none"/>
              </w:rPr>
              <w:t xml:space="preserve">The DEF tank must be filled by means of the specific automatic filling nozzle at the authorised distributors, refer to the car manual for refilling operations.</w:t>
            </w:r>
          </w:p>
          <w:p>
            <w:pPr>
              <w:numPr>
                <w:ilvl w:val="0"/>
                <w:numId w:val="19658"/>
              </w:numPr>
              <w:spacing w:before="0" w:after="0" w:line="262" w:lineRule="auto"/>
              <w:jc w:val="left"/>
              <w:rPr>
                <w:color w:val="00274C"/>
                <w:sz w:val="20"/>
                <w:szCs w:val="20"/>
              </w:rPr>
            </w:pPr>
            <w:r>
              <w:rPr>
                <w:color w:val="00274C"/>
                <w:position w:val="-2"/>
                <w:sz w:val="20"/>
                <w:szCs w:val="20"/>
                <w:u w:val="none"/>
              </w:rPr>
              <w:t xml:space="preserve">Upon refilling, comply with the MAX level indicated on the tank.</w:t>
            </w:r>
          </w:p>
          <w:p>
            <w:pPr>
              <w:numPr>
                <w:ilvl w:val="0"/>
                <w:numId w:val="19658"/>
              </w:numPr>
              <w:spacing w:before="0" w:after="0" w:line="262" w:lineRule="auto"/>
              <w:jc w:val="left"/>
              <w:rPr>
                <w:color w:val="00274C"/>
                <w:sz w:val="20"/>
                <w:szCs w:val="20"/>
              </w:rPr>
            </w:pPr>
            <w:r>
              <w:rPr>
                <w:color w:val="00274C"/>
                <w:position w:val="-2"/>
                <w:sz w:val="20"/>
                <w:szCs w:val="20"/>
                <w:u w:val="none"/>
              </w:rPr>
              <w:t xml:space="preserve">During the refilling operations prevent any impurity from entering the tank.</w:t>
            </w:r>
          </w:p>
          <w:p>
            <w:pPr>
              <w:numPr>
                <w:ilvl w:val="0"/>
                <w:numId w:val="19658"/>
              </w:numPr>
              <w:spacing w:before="0" w:after="0" w:line="262" w:lineRule="auto"/>
              <w:jc w:val="left"/>
              <w:rPr>
                <w:color w:val="00274C"/>
                <w:sz w:val="20"/>
                <w:szCs w:val="20"/>
              </w:rPr>
            </w:pPr>
            <w:r>
              <w:rPr>
                <w:color w:val="00274C"/>
                <w:position w:val="-2"/>
                <w:sz w:val="20"/>
                <w:szCs w:val="20"/>
                <w:u w:val="none"/>
              </w:rPr>
              <w:t xml:space="preserve">At tank inlet there is a filter that must be periodically cleaned or replaced (see maintenance and replacement table - for tank supplied by  </w:t>
            </w:r>
            <w:r>
              <w:rPr>
                <w:b/>
                <w:bCs/>
                <w:color w:val="000000"/>
                <w:position w:val="-2"/>
                <w:sz w:val="20"/>
                <w:szCs w:val="20"/>
                <w:u w:val="none"/>
              </w:rPr>
              <w:t xml:space="preserve">REHLKO </w:t>
            </w:r>
            <w:r>
              <w:rPr>
                <w:color w:val="00274C"/>
                <w:position w:val="-2"/>
                <w:sz w:val="20"/>
                <w:szCs w:val="20"/>
                <w:u w:val="none"/>
              </w:rPr>
              <w:t xml:space="preserve"> only).</w:t>
            </w:r>
          </w:p>
          <w:p>
            <w:pPr>
              <w:numPr>
                <w:ilvl w:val="0"/>
                <w:numId w:val="19658"/>
              </w:numPr>
              <w:spacing w:before="0" w:after="0" w:line="262" w:lineRule="auto"/>
              <w:jc w:val="left"/>
              <w:rPr>
                <w:color w:val="00274C"/>
                <w:sz w:val="20"/>
                <w:szCs w:val="20"/>
              </w:rPr>
            </w:pPr>
            <w:r>
              <w:rPr>
                <w:color w:val="00274C"/>
                <w:position w:val="-2"/>
                <w:sz w:val="20"/>
                <w:szCs w:val="20"/>
                <w:u w:val="none"/>
              </w:rPr>
              <w:t xml:space="preserve">DEF quality must comply with the specifications described in Table 2.5.</w:t>
            </w:r>
          </w:p>
        </w:tc>
      </w:tr>
      <w:tr>
        <w:trPr>
          <w:trHeight w:val="0" w:hRule="atLeast"/>
        </w:trPr>
        <w:tc>
          <w:tcPr>
            <w:tcW w:w="0" w:type="auto"/>
            <w:gridSpan w:val="3"/>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73868390" name="name18756a3420f85b532"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42576a3420f85b530"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Warning</w:t>
            </w:r>
          </w:p>
          <w:p>
            <w:pPr>
              <w:numPr>
                <w:ilvl w:val="0"/>
                <w:numId w:val="19655"/>
              </w:numPr>
              <w:spacing w:before="0" w:after="0" w:line="262" w:lineRule="auto"/>
              <w:jc w:val="left"/>
              <w:rPr>
                <w:color w:val="00274C"/>
                <w:sz w:val="20"/>
                <w:szCs w:val="20"/>
              </w:rPr>
            </w:pPr>
            <w:r>
              <w:rPr>
                <w:color w:val="00274C"/>
                <w:position w:val="-2"/>
                <w:sz w:val="20"/>
                <w:szCs w:val="20"/>
                <w:u w:val="none"/>
              </w:rPr>
              <w:t xml:space="preserve">Do not mix DEF with fuel or other liquids (including water) and do not fill the fuel tank with DEF.</w:t>
            </w:r>
          </w:p>
          <w:p>
            <w:pPr>
              <w:numPr>
                <w:ilvl w:val="0"/>
                <w:numId w:val="19655"/>
              </w:numPr>
              <w:spacing w:before="0" w:after="0" w:line="262" w:lineRule="auto"/>
              <w:jc w:val="left"/>
              <w:rPr>
                <w:color w:val="00274C"/>
                <w:sz w:val="20"/>
                <w:szCs w:val="20"/>
              </w:rPr>
            </w:pPr>
            <w:r>
              <w:rPr>
                <w:color w:val="00274C"/>
                <w:position w:val="-2"/>
                <w:sz w:val="20"/>
                <w:szCs w:val="20"/>
                <w:u w:val="none"/>
              </w:rPr>
              <w:t xml:space="preserve">The presence of DEF inside the specific tank is required to start the engine.</w:t>
            </w:r>
          </w:p>
          <w:p>
            <w:pPr>
              <w:numPr>
                <w:ilvl w:val="0"/>
                <w:numId w:val="19655"/>
              </w:numPr>
              <w:spacing w:before="0" w:after="0" w:line="262" w:lineRule="auto"/>
              <w:jc w:val="left"/>
              <w:rPr>
                <w:color w:val="00274C"/>
                <w:sz w:val="20"/>
                <w:szCs w:val="20"/>
              </w:rPr>
            </w:pPr>
            <w:r>
              <w:rPr>
                <w:color w:val="00274C"/>
                <w:position w:val="-2"/>
                <w:sz w:val="20"/>
                <w:szCs w:val="20"/>
                <w:u w:val="none"/>
              </w:rPr>
              <w:t xml:space="preserve">Purchase in containers: the container, even if opened, can be stocked with the same conditions of a sealed container.</w:t>
            </w:r>
          </w:p>
          <w:p>
            <w:pPr>
              <w:numPr>
                <w:ilvl w:val="0"/>
                <w:numId w:val="19655"/>
              </w:numPr>
              <w:spacing w:before="0" w:after="0" w:line="262" w:lineRule="auto"/>
              <w:jc w:val="left"/>
              <w:rPr>
                <w:color w:val="00274C"/>
                <w:sz w:val="20"/>
                <w:szCs w:val="20"/>
              </w:rPr>
            </w:pPr>
            <w:r>
              <w:rPr>
                <w:color w:val="00274C"/>
                <w:position w:val="-2"/>
                <w:sz w:val="20"/>
                <w:szCs w:val="20"/>
                <w:u w:val="none"/>
              </w:rPr>
              <w:t xml:space="preserve">Do not stock the container with a temperature higher than 35°C as this could alter the DEF.</w:t>
            </w:r>
          </w:p>
          <w:p>
            <w:pPr>
              <w:numPr>
                <w:ilvl w:val="0"/>
                <w:numId w:val="19655"/>
              </w:numPr>
              <w:spacing w:before="0" w:after="0" w:line="262" w:lineRule="auto"/>
              <w:jc w:val="left"/>
              <w:rPr>
                <w:color w:val="00274C"/>
                <w:sz w:val="20"/>
                <w:szCs w:val="20"/>
              </w:rPr>
            </w:pPr>
            <w:r>
              <w:rPr>
                <w:color w:val="00274C"/>
                <w:position w:val="-2"/>
                <w:sz w:val="20"/>
                <w:szCs w:val="20"/>
                <w:u w:val="none"/>
              </w:rPr>
              <w:t xml:space="preserve">In case of DEF freezing inside the container (&lt; -11,5 °C | 11,3 °F), DEF can be used when it returns to its liquid state.</w:t>
            </w:r>
          </w:p>
          <w:p>
            <w:pPr>
              <w:numPr>
                <w:ilvl w:val="0"/>
                <w:numId w:val="19655"/>
              </w:numPr>
              <w:spacing w:before="0" w:after="0" w:line="262" w:lineRule="auto"/>
              <w:jc w:val="left"/>
              <w:rPr>
                <w:color w:val="00274C"/>
                <w:sz w:val="20"/>
                <w:szCs w:val="20"/>
              </w:rPr>
            </w:pPr>
            <w:r>
              <w:rPr>
                <w:color w:val="00274C"/>
                <w:position w:val="-2"/>
                <w:sz w:val="20"/>
                <w:szCs w:val="20"/>
                <w:u w:val="none"/>
              </w:rPr>
              <w:t xml:space="preserve">Do not expose DEF to direct sunlight.</w:t>
            </w:r>
          </w:p>
          <w:p>
            <w:pPr>
              <w:numPr>
                <w:ilvl w:val="0"/>
                <w:numId w:val="19655"/>
              </w:numPr>
              <w:spacing w:before="0" w:after="0" w:line="262" w:lineRule="auto"/>
              <w:jc w:val="left"/>
              <w:rPr>
                <w:color w:val="00274C"/>
                <w:sz w:val="20"/>
                <w:szCs w:val="20"/>
              </w:rPr>
            </w:pPr>
            <w:r>
              <w:rPr>
                <w:color w:val="00274C"/>
                <w:position w:val="-2"/>
                <w:sz w:val="20"/>
                <w:szCs w:val="20"/>
                <w:u w:val="none"/>
              </w:rPr>
              <w:t xml:space="preserve">In case of opening and closing of the original purchase container, DEF must be checked through a spectrometer to check its quality before use.</w:t>
            </w:r>
          </w:p>
          <w:p>
            <w:pPr>
              <w:numPr>
                <w:ilvl w:val="0"/>
                <w:numId w:val="19655"/>
              </w:numPr>
              <w:spacing w:before="0" w:after="0" w:line="262" w:lineRule="auto"/>
              <w:jc w:val="left"/>
              <w:rPr>
                <w:color w:val="00274C"/>
                <w:sz w:val="20"/>
                <w:szCs w:val="20"/>
              </w:rPr>
            </w:pPr>
            <w:r>
              <w:rPr>
                <w:color w:val="00274C"/>
                <w:position w:val="-2"/>
                <w:sz w:val="20"/>
                <w:szCs w:val="20"/>
                <w:u w:val="none"/>
              </w:rPr>
              <w:t xml:space="preserve">Do not insert altered DEF in the tank as the engine could not respect the emission parameters, generate DCU errors and as a consequence turn off or fail to start the engine.</w:t>
            </w:r>
          </w:p>
        </w:tc>
      </w:tr>
      <w:tr>
        <w:trPr>
          <w:trHeight w:val="0" w:hRule="atLeast"/>
        </w:trPr>
        <w:tc>
          <w:tcPr>
            <w:tcW w:w="0" w:type="auto"/>
            <w:gridSpan w:val="3"/>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2.5</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PARAMETERS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MEASUREMENT</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Title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Weight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31,8 ÷ 33,2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Density at 20°C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kg/m3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1.087 ÷ 1.093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Refraction index at 20°C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1,3814 ÷ 1,3843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Alkalinity like NH3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Weight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Biuret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Weight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Aldehyde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Insoluble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20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Phosphates like PO4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Calcium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Iron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Copper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Zinc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Chrome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Nickel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Aluminium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Magnesium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Sodium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Potassium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Freezing point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color w:val="00274C"/>
                      <w:position w:val="-2"/>
                      <w:sz w:val="20"/>
                      <w:szCs w:val="20"/>
                      <w:u w:val="none"/>
                      <w:shd w:val="clear" w:color="auto" w:fill="E1E2E0"/>
                    </w:rPr>
                    <w:t xml:space="preserve">-11</w:t>
                  </w:r>
                </w:p>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Coolant recommendation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XtendedTM prediluted coolant 50% ethylene glycol OAT is preferred.</w:t>
            </w:r>
          </w:p>
          <w:p/>
          <w:p/>
          <w:p>
            <w:pPr>
              <w:widowControl w:val="on"/>
              <w:pBdr/>
              <w:spacing w:before="0" w:after="0" w:line="262" w:lineRule="auto"/>
              <w:ind w:left="0" w:right="0"/>
              <w:jc w:val="left"/>
              <w:textAlignment w:val="center"/>
            </w:pPr>
            <w:r>
              <w:rPr>
                <w:position w:val="-353"/>
              </w:rPr>
              <w:drawing>
                <wp:inline distT="0" distB="0" distL="0" distR="0">
                  <wp:extent cx="2844000" cy="4456800"/>
                  <wp:effectExtent b="0" l="0" r="0" t="0"/>
                  <wp:docPr id="17573208" name="name88356a3420f86c5eb" descr="Rehlko_Xtended%2520Life%2520Coolant%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ended%2520Life%2520Coolant%2520-%2520NA.jpg"/>
                          <pic:cNvPicPr/>
                        </pic:nvPicPr>
                        <pic:blipFill>
                          <a:blip r:embed="rId89976a3420f86c5e8" cstate="print"/>
                          <a:stretch>
                            <a:fillRect/>
                          </a:stretch>
                        </pic:blipFill>
                        <pic:spPr>
                          <a:xfrm>
                            <a:off x="0" y="0"/>
                            <a:ext cx="2844000" cy="4456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Coolant meeting the following specifications are also recommended. </w:t>
            </w:r>
          </w:p>
          <w:p/>
          <w:p/>
          <w:p>
            <w:pPr>
              <w:widowControl w:val="on"/>
              <w:pBdr/>
              <w:spacing w:before="0" w:after="0" w:line="262" w:lineRule="auto"/>
              <w:ind w:left="0" w:right="0"/>
              <w:jc w:val="left"/>
              <w:textAlignment w:val="center"/>
            </w:pPr>
            <w:r>
              <w:rPr>
                <w:color w:val="00274C"/>
                <w:position w:val="-2"/>
                <w:sz w:val="20"/>
                <w:szCs w:val="20"/>
                <w:u w:val="none"/>
              </w:rPr>
              <w:t xml:space="preserve">A mixture of 50% demineralized water and 50% low silicate ethylene glycol based coolant liquid must be used. Use a Long Life or Extended Life Heavy Duty OAT coolant free of: silicates, phosphates, borates, nitrites and amines.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following ethylene-glycol based engine coolant for all models may be used: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9655"/>
              </w:numPr>
              <w:spacing w:before="0" w:after="0" w:line="262" w:lineRule="auto"/>
              <w:jc w:val="left"/>
              <w:rPr>
                <w:color w:val="00274C"/>
                <w:sz w:val="20"/>
                <w:szCs w:val="20"/>
              </w:rPr>
            </w:pPr>
            <w:r>
              <w:rPr>
                <w:color w:val="00274C"/>
                <w:position w:val="-2"/>
                <w:sz w:val="20"/>
                <w:szCs w:val="20"/>
                <w:u w:val="none"/>
              </w:rPr>
              <w:t xml:space="preserve">OAT (Organic Acid Technology) Low Silicate:  </w:t>
            </w:r>
            <w:r>
              <w:rPr>
                <w:b/>
                <w:bCs/>
                <w:color w:val="00274C"/>
                <w:position w:val="-2"/>
                <w:sz w:val="20"/>
                <w:szCs w:val="20"/>
                <w:u w:val="none"/>
              </w:rPr>
              <w:t xml:space="preserve">ASTM D-3306 D-6210</w:t>
            </w:r>
          </w:p>
          <w:p>
            <w:pPr>
              <w:numPr>
                <w:ilvl w:val="0"/>
                <w:numId w:val="19655"/>
              </w:numPr>
              <w:spacing w:before="0" w:after="0" w:line="262" w:lineRule="auto"/>
              <w:jc w:val="left"/>
              <w:rPr>
                <w:color w:val="00274C"/>
                <w:sz w:val="20"/>
                <w:szCs w:val="20"/>
              </w:rPr>
            </w:pPr>
            <w:r>
              <w:rPr>
                <w:color w:val="00274C"/>
                <w:position w:val="-2"/>
                <w:sz w:val="20"/>
                <w:szCs w:val="20"/>
                <w:u w:val="none"/>
              </w:rPr>
              <w:t xml:space="preserve">HOAT (Hybrid Organic Acid Technology) Low Silicate:  </w:t>
            </w:r>
            <w:r>
              <w:rPr>
                <w:b/>
                <w:bCs/>
                <w:color w:val="00274C"/>
                <w:position w:val="-2"/>
                <w:sz w:val="20"/>
                <w:szCs w:val="20"/>
                <w:u w:val="none"/>
              </w:rPr>
              <w:t xml:space="preserve">ASTM D-3306 D-6210</w:t>
            </w:r>
          </w:p>
          <w:p/>
          <w:p/>
          <w:p>
            <w:pPr>
              <w:widowControl w:val="on"/>
              <w:pBdr/>
              <w:spacing w:before="0" w:after="0" w:line="262" w:lineRule="auto"/>
              <w:ind w:left="0" w:right="0"/>
              <w:jc w:val="left"/>
              <w:textAlignment w:val="center"/>
            </w:pPr>
            <w:r>
              <w:rPr>
                <w:color w:val="00274C"/>
                <w:position w:val="-2"/>
                <w:sz w:val="20"/>
                <w:szCs w:val="20"/>
                <w:u w:val="none"/>
              </w:rPr>
              <w:t xml:space="preserve">The above coolants in concentrated formulation must be mixed with distilled, deionized, or demineralized water. A pre-mixed formulation (40-60% or 50-50%) can be used directly when available.</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448242" name="name37156a3420f871319"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48276a3420f871317"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19655"/>
              </w:numPr>
              <w:spacing w:before="0" w:after="0" w:line="262" w:lineRule="auto"/>
              <w:jc w:val="left"/>
              <w:rPr>
                <w:color w:val="00274C"/>
                <w:sz w:val="20"/>
                <w:szCs w:val="20"/>
              </w:rPr>
            </w:pPr>
            <w:r>
              <w:rPr>
                <w:color w:val="00274C"/>
                <w:position w:val="-2"/>
                <w:sz w:val="20"/>
                <w:szCs w:val="20"/>
                <w:u w:val="none"/>
              </w:rPr>
              <w:t xml:space="preserve">Do not mix ethylene glycol and propylene glycol based coolants. Do not mix OAT and HOAT based coolant. OAT performance life can be drastically reduced if contaminated with nitrite-containing coolants.</w:t>
            </w:r>
          </w:p>
          <w:p>
            <w:pPr>
              <w:numPr>
                <w:ilvl w:val="0"/>
                <w:numId w:val="19655"/>
              </w:numPr>
              <w:spacing w:before="0" w:after="0" w:line="262" w:lineRule="auto"/>
              <w:jc w:val="left"/>
              <w:rPr>
                <w:color w:val="00274C"/>
                <w:sz w:val="20"/>
                <w:szCs w:val="20"/>
              </w:rPr>
            </w:pPr>
            <w:r>
              <w:rPr>
                <w:color w:val="00274C"/>
                <w:position w:val="-2"/>
                <w:sz w:val="20"/>
                <w:szCs w:val="20"/>
                <w:u w:val="none"/>
              </w:rPr>
              <w:t xml:space="preserve">Never use automotive-type coolants. These coolants do not contain the correct additives to protect heavy – duty diesel engines.</w:t>
            </w:r>
          </w:p>
          <w:p/>
          <w:p/>
          <w:p>
            <w:pPr>
              <w:widowControl w:val="on"/>
              <w:pBdr/>
              <w:spacing w:before="0" w:after="0" w:line="262" w:lineRule="auto"/>
              <w:ind w:left="0" w:right="0"/>
              <w:jc w:val="left"/>
              <w:textAlignment w:val="center"/>
            </w:pPr>
            <w:r>
              <w:rPr>
                <w:color w:val="00274C"/>
                <w:position w:val="-2"/>
                <w:sz w:val="20"/>
                <w:szCs w:val="20"/>
                <w:u w:val="none"/>
              </w:rPr>
              <w:t xml:space="preserve">OAT coolants are maintenance free up to 5 years or 4000hrs of operation , provided that the cooling system is topped up using the same type of coolant. Do not mix different coolant types. Test the coolant condition annually with coolant test strips.</w:t>
            </w:r>
            <w:r>
              <w:rPr>
                <w:color w:val="00274C"/>
                <w:position w:val="-2"/>
                <w:sz w:val="20"/>
                <w:szCs w:val="20"/>
                <w:u w:val="none"/>
              </w:rPr>
              <w:br/>
              <w:t xml:space="preserve">HOAT are not all maintenance free and it is recommended to have SCA (Supplemental Coolant Additives) added at the first maintenance interval.</w:t>
            </w:r>
          </w:p>
          <w:p/>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Battery recommendation</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Battery not supplied by </w:t>
            </w:r>
            <w:r>
              <w:rPr>
                <w:color w:val="00274C"/>
                <w:position w:val="-2"/>
                <w:sz w:val="20"/>
                <w:szCs w:val="20"/>
                <w:u w:val="none"/>
              </w:rPr>
              <w:t xml:space="preserve"> </w:t>
            </w:r>
            <w:r>
              <w:rPr>
                <w:b/>
                <w:bCs/>
                <w:color w:val="000000"/>
                <w:position w:val="-2"/>
                <w:sz w:val="20"/>
                <w:szCs w:val="20"/>
                <w:u w:val="none"/>
              </w:rPr>
              <w:t xml:space="preserve">REHLKO</w:t>
            </w:r>
          </w:p>
          <w:p/>
          <w:p/>
          <w:p>
            <w:pPr>
              <w:widowControl w:val="on"/>
              <w:pBdr/>
              <w:spacing w:before="0" w:after="0" w:line="262" w:lineRule="auto"/>
              <w:ind w:left="0" w:right="0"/>
              <w:jc w:val="left"/>
              <w:textAlignment w:val="center"/>
            </w:pPr>
            <w:r>
              <w:rPr>
                <w:b/>
                <w:bCs/>
                <w:color w:val="00274C"/>
                <w:position w:val="-2"/>
                <w:sz w:val="20"/>
                <w:szCs w:val="20"/>
                <w:u w:val="none"/>
              </w:rPr>
              <w:t xml:space="preserve">2.6</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RECOMMENDED BATTERIES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AMBIENT TEMPERATURE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STARTER MOTOR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OIL</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BATTERY TYPE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MACHINE CONDITION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- 25°C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3.2kW + HEATER</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10W-40</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5W-40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color w:val="00274C"/>
                      <w:position w:val="-2"/>
                      <w:sz w:val="20"/>
                      <w:szCs w:val="20"/>
                      <w:u w:val="none"/>
                      <w:shd w:val="clear" w:color="auto" w:fill="E1E2E0"/>
                    </w:rPr>
                    <w:t xml:space="preserve">880CCA SAE (=1000 A (EN))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light hydraulic parasitic loads or mechanical clutch and gearbox </w:t>
                  </w:r>
                </w:p>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- 25°C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4.2kW + HEATER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color w:val="00274C"/>
                      <w:position w:val="-2"/>
                      <w:sz w:val="20"/>
                      <w:szCs w:val="20"/>
                      <w:u w:val="none"/>
                      <w:shd w:val="clear" w:color="auto" w:fill="E1E2E0"/>
                    </w:rPr>
                    <w:t xml:space="preserve">1000CCA SAE =(1250 A (EN))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heavy hydraulic parasitic loads </w:t>
                  </w:r>
                </w:p>
                <w:p/>
              </w:tc>
            </w:tr>
          </w:tbl>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Inducement strategy of ATS system</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The inducement is the operation aimed at reducing the engine performance due to a malfunction or tampering with the ATS system detected by the DCU.</w:t>
            </w:r>
            <w:r>
              <w:rPr>
                <w:color w:val="00274C"/>
                <w:position w:val="-2"/>
                <w:sz w:val="20"/>
                <w:szCs w:val="20"/>
                <w:u w:val="none"/>
              </w:rPr>
              <w:br/>
              <w:br/>
              <w:t xml:space="preserve">The inducement degree is decided by the ECU according to the error detected by the DCU.</w:t>
            </w:r>
            <w:r>
              <w:rPr>
                <w:color w:val="00274C"/>
                <w:position w:val="-2"/>
                <w:sz w:val="20"/>
                <w:szCs w:val="20"/>
                <w:u w:val="none"/>
              </w:rPr>
              <w:br/>
              <w:br/>
              <w:br/>
              <w:br/>
              <w:t xml:space="preserve">The information on the car panel or the activation of the inducement can occur for the following reasons: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9655"/>
              </w:numPr>
              <w:spacing w:before="0" w:after="0" w:line="262" w:lineRule="auto"/>
              <w:jc w:val="left"/>
              <w:rPr>
                <w:color w:val="00274C"/>
                <w:sz w:val="20"/>
                <w:szCs w:val="20"/>
              </w:rPr>
            </w:pPr>
            <w:r>
              <w:rPr>
                <w:color w:val="00274C"/>
                <w:position w:val="-2"/>
                <w:sz w:val="20"/>
                <w:szCs w:val="20"/>
                <w:u w:val="none"/>
              </w:rPr>
              <w:t xml:space="preserve">Low DEF level</w:t>
            </w:r>
          </w:p>
          <w:p>
            <w:pPr>
              <w:numPr>
                <w:ilvl w:val="0"/>
                <w:numId w:val="19655"/>
              </w:numPr>
              <w:spacing w:before="0" w:after="0" w:line="262" w:lineRule="auto"/>
              <w:jc w:val="left"/>
              <w:rPr>
                <w:color w:val="00274C"/>
                <w:sz w:val="20"/>
                <w:szCs w:val="20"/>
              </w:rPr>
            </w:pPr>
            <w:r>
              <w:rPr>
                <w:color w:val="00274C"/>
                <w:position w:val="-2"/>
                <w:sz w:val="20"/>
                <w:szCs w:val="20"/>
                <w:u w:val="none"/>
              </w:rPr>
              <w:t xml:space="preserve">Poor DEF quality</w:t>
            </w:r>
          </w:p>
          <w:p>
            <w:pPr>
              <w:numPr>
                <w:ilvl w:val="0"/>
                <w:numId w:val="19655"/>
              </w:numPr>
              <w:spacing w:before="0" w:after="0" w:line="262" w:lineRule="auto"/>
              <w:jc w:val="left"/>
              <w:rPr>
                <w:color w:val="00274C"/>
                <w:sz w:val="20"/>
                <w:szCs w:val="20"/>
              </w:rPr>
            </w:pPr>
            <w:r>
              <w:rPr>
                <w:color w:val="00274C"/>
                <w:position w:val="-2"/>
                <w:sz w:val="20"/>
                <w:szCs w:val="20"/>
                <w:u w:val="none"/>
              </w:rPr>
              <w:t xml:space="preserve">Interruption of DEF supply</w:t>
            </w:r>
          </w:p>
          <w:p>
            <w:pPr>
              <w:numPr>
                <w:ilvl w:val="0"/>
                <w:numId w:val="19655"/>
              </w:numPr>
              <w:spacing w:before="0" w:after="0" w:line="262" w:lineRule="auto"/>
              <w:jc w:val="left"/>
              <w:rPr>
                <w:color w:val="00274C"/>
                <w:sz w:val="20"/>
                <w:szCs w:val="20"/>
              </w:rPr>
            </w:pPr>
            <w:r>
              <w:rPr>
                <w:color w:val="00274C"/>
                <w:position w:val="-2"/>
                <w:sz w:val="20"/>
                <w:szCs w:val="20"/>
                <w:u w:val="none"/>
              </w:rPr>
              <w:t xml:space="preserve">EGR valve malfunctioning</w:t>
            </w:r>
          </w:p>
          <w:p>
            <w:pPr>
              <w:numPr>
                <w:ilvl w:val="0"/>
                <w:numId w:val="19655"/>
              </w:numPr>
              <w:spacing w:before="0" w:after="0" w:line="262" w:lineRule="auto"/>
              <w:jc w:val="left"/>
              <w:rPr>
                <w:color w:val="00274C"/>
                <w:sz w:val="20"/>
                <w:szCs w:val="20"/>
              </w:rPr>
            </w:pPr>
            <w:r>
              <w:rPr>
                <w:color w:val="00274C"/>
                <w:position w:val="-2"/>
                <w:sz w:val="20"/>
                <w:szCs w:val="20"/>
                <w:u w:val="none"/>
              </w:rPr>
              <w:t xml:space="preserve">Tampering with the monitoring systems of the ATS system.</w:t>
            </w:r>
          </w:p>
          <w:p>
            <w:pPr>
              <w:widowControl w:val="on"/>
              <w:pBdr/>
              <w:spacing w:before="0" w:after="0" w:line="240" w:lineRule="auto"/>
              <w:ind w:left="0" w:right="0"/>
              <w:jc w:val="left"/>
            </w:pPr>
            <w:r>
              <w:rPr>
                <w:color w:val="00274C"/>
                <w:position w:val="-2"/>
                <w:sz w:val="20"/>
                <w:szCs w:val="20"/>
                <w:u w:val="none"/>
              </w:rPr>
              <w:t xml:space="preserve">
The inducement strategy is applied according to: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9655"/>
              </w:numPr>
              <w:spacing w:before="0" w:after="0" w:line="262" w:lineRule="auto"/>
              <w:jc w:val="left"/>
              <w:rPr>
                <w:color w:val="00274C"/>
                <w:sz w:val="20"/>
                <w:szCs w:val="20"/>
              </w:rPr>
            </w:pPr>
            <w:r>
              <w:rPr>
                <w:color w:val="00274C"/>
                <w:position w:val="-2"/>
                <w:sz w:val="20"/>
                <w:szCs w:val="20"/>
                <w:u w:val="none"/>
              </w:rPr>
              <w:t xml:space="preserve">detected problem</w:t>
            </w:r>
          </w:p>
          <w:p>
            <w:pPr>
              <w:numPr>
                <w:ilvl w:val="0"/>
                <w:numId w:val="19655"/>
              </w:numPr>
              <w:spacing w:before="0" w:after="0" w:line="262" w:lineRule="auto"/>
              <w:jc w:val="left"/>
              <w:rPr>
                <w:color w:val="00274C"/>
                <w:sz w:val="20"/>
                <w:szCs w:val="20"/>
              </w:rPr>
            </w:pPr>
            <w:r>
              <w:rPr>
                <w:color w:val="00274C"/>
                <w:position w:val="-2"/>
                <w:sz w:val="20"/>
                <w:szCs w:val="20"/>
                <w:u w:val="none"/>
              </w:rPr>
              <w:t xml:space="preserve">hours passed.</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NOTE: Hours are reset after 40h if the DCU does not detect any fault, otherwise the hours are added to those already counted. For low DEF level, activation depends on the percentage of liquid inside the DEF tank, and the fault hours are not counted.</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The strategy for the different faults is listed below (Stage V - EU):</w:t>
            </w:r>
          </w:p>
          <w:p/>
          <w:p/>
          <w:p>
            <w:pPr>
              <w:widowControl w:val="on"/>
              <w:pBdr/>
              <w:spacing w:before="0" w:after="0" w:line="262" w:lineRule="auto"/>
              <w:ind w:left="0" w:right="0"/>
              <w:jc w:val="left"/>
              <w:textAlignment w:val="center"/>
            </w:pPr>
            <w:r>
              <w:rPr>
                <w:color w:val="00274C"/>
                <w:position w:val="-2"/>
                <w:sz w:val="20"/>
                <w:szCs w:val="20"/>
                <w:u w:val="none"/>
              </w:rPr>
              <w:t xml:space="preserve">The inducement can have the following 2 levels:</w:t>
            </w:r>
          </w:p>
          <w:p>
            <w:pPr>
              <w:numPr>
                <w:ilvl w:val="0"/>
                <w:numId w:val="19655"/>
              </w:numPr>
              <w:spacing w:before="0" w:after="0" w:line="262" w:lineRule="auto"/>
              <w:jc w:val="left"/>
              <w:rPr>
                <w:color w:val="00274C"/>
                <w:sz w:val="20"/>
                <w:szCs w:val="20"/>
              </w:rPr>
            </w:pPr>
            <w:r>
              <w:rPr>
                <w:color w:val="00274C"/>
                <w:position w:val="-2"/>
                <w:sz w:val="20"/>
                <w:szCs w:val="20"/>
                <w:u w:val="none"/>
              </w:rPr>
              <w:t xml:space="preserve">Level 1: 25% reduction of the MAX available torque.</w:t>
            </w:r>
          </w:p>
          <w:p>
            <w:pPr>
              <w:numPr>
                <w:ilvl w:val="0"/>
                <w:numId w:val="19655"/>
              </w:numPr>
              <w:spacing w:before="0" w:after="0" w:line="262" w:lineRule="auto"/>
              <w:jc w:val="left"/>
              <w:rPr>
                <w:color w:val="00274C"/>
                <w:sz w:val="20"/>
                <w:szCs w:val="20"/>
              </w:rPr>
            </w:pPr>
            <w:r>
              <w:rPr>
                <w:color w:val="00274C"/>
                <w:position w:val="-2"/>
                <w:sz w:val="20"/>
                <w:szCs w:val="20"/>
                <w:u w:val="none"/>
              </w:rPr>
              <w:t xml:space="preserve">Level 2: 50% reduction of the MAX available torque and 40% reduction of MAX rpm available.</w:t>
            </w:r>
          </w:p>
          <w:p/>
          <w:p>
            <w:pPr>
              <w:widowControl w:val="on"/>
              <w:pBdr/>
              <w:spacing w:before="0" w:after="0" w:line="240" w:lineRule="auto"/>
              <w:ind w:left="0" w:right="0"/>
              <w:jc w:val="left"/>
            </w:pPr>
            <w:r>
              <w:rPr>
                <w:color w:val="00274C"/>
                <w:position w:val="-2"/>
                <w:sz w:val="20"/>
                <w:szCs w:val="20"/>
                <w:u w:val="none"/>
              </w:rPr>
              <w:t xml:space="preserve">
Before activating the inducement (level 1 or level 2) the ECU activates a warning or a warning light on the car panel (refer to the car documentation for the warning type).
</w:t>
            </w:r>
          </w:p>
          <w:p>
            <w:pPr>
              <w:widowControl w:val="on"/>
              <w:pBdr/>
              <w:spacing w:before="0" w:after="0" w:line="262" w:lineRule="auto"/>
              <w:ind w:left="0" w:right="0"/>
              <w:jc w:val="left"/>
              <w:textAlignment w:val="center"/>
            </w:pPr>
            <w:r>
              <w:rPr>
                <w:b/>
                <w:bCs/>
                <w:i/>
                <w:iCs/>
                <w:color w:val="00274C"/>
                <w:position w:val="-2"/>
                <w:sz w:val="20"/>
                <w:szCs w:val="20"/>
                <w:u w:val="none"/>
              </w:rPr>
              <w:br/>
              <w:t xml:space="preserve">Low DEF level</w:t>
            </w:r>
          </w:p>
          <w:p>
            <w:pPr>
              <w:numPr>
                <w:ilvl w:val="0"/>
                <w:numId w:val="19655"/>
              </w:numPr>
              <w:spacing w:before="0" w:after="0" w:line="262" w:lineRule="auto"/>
              <w:jc w:val="left"/>
              <w:rPr>
                <w:color w:val="00274C"/>
                <w:sz w:val="20"/>
                <w:szCs w:val="20"/>
              </w:rPr>
            </w:pPr>
            <w:r>
              <w:rPr>
                <w:color w:val="00274C"/>
                <w:position w:val="-2"/>
                <w:sz w:val="20"/>
                <w:szCs w:val="20"/>
                <w:u w:val="none"/>
              </w:rPr>
              <w:t xml:space="preserve">information activation on car panel: &lt;10% of MAX level</w:t>
            </w:r>
          </w:p>
          <w:p>
            <w:pPr>
              <w:numPr>
                <w:ilvl w:val="0"/>
                <w:numId w:val="19655"/>
              </w:numPr>
              <w:spacing w:before="0" w:after="0" w:line="262" w:lineRule="auto"/>
              <w:jc w:val="left"/>
              <w:rPr>
                <w:color w:val="00274C"/>
                <w:sz w:val="20"/>
                <w:szCs w:val="20"/>
              </w:rPr>
            </w:pPr>
            <w:r>
              <w:rPr>
                <w:color w:val="00274C"/>
                <w:position w:val="-2"/>
                <w:sz w:val="20"/>
                <w:szCs w:val="20"/>
                <w:u w:val="none"/>
              </w:rPr>
              <w:t xml:space="preserve">Level 1 inducement: &lt;2.5% of MAX level</w:t>
            </w:r>
          </w:p>
          <w:p>
            <w:pPr>
              <w:numPr>
                <w:ilvl w:val="0"/>
                <w:numId w:val="19655"/>
              </w:numPr>
              <w:spacing w:before="0" w:after="0" w:line="262" w:lineRule="auto"/>
              <w:jc w:val="left"/>
              <w:rPr>
                <w:color w:val="00274C"/>
                <w:sz w:val="20"/>
                <w:szCs w:val="20"/>
              </w:rPr>
            </w:pPr>
            <w:r>
              <w:rPr>
                <w:color w:val="00274C"/>
                <w:position w:val="-2"/>
                <w:sz w:val="20"/>
                <w:szCs w:val="20"/>
                <w:u w:val="none"/>
              </w:rPr>
              <w:t xml:space="preserve">Level 2 inducement: 0% of MAX level</w:t>
            </w:r>
          </w:p>
          <w:p>
            <w:pPr>
              <w:widowControl w:val="on"/>
              <w:pBdr/>
              <w:spacing w:before="0" w:after="0" w:line="240" w:lineRule="auto"/>
              <w:ind w:left="0" w:right="0"/>
              <w:jc w:val="left"/>
            </w:pPr>
            <w:r>
              <w:rPr>
                <w:b/>
                <w:bCs/>
                <w:i/>
                <w:iCs/>
                <w:color w:val="00274C"/>
                <w:position w:val="-2"/>
                <w:sz w:val="20"/>
                <w:szCs w:val="20"/>
                <w:u w:val="none"/>
              </w:rPr>
              <w:t xml:space="preserve">Poor DEF quality</w:t>
            </w:r>
          </w:p>
          <w:p>
            <w:pPr>
              <w:numPr>
                <w:ilvl w:val="0"/>
                <w:numId w:val="19655"/>
              </w:numPr>
              <w:spacing w:before="0" w:after="0" w:line="262" w:lineRule="auto"/>
              <w:jc w:val="left"/>
              <w:rPr>
                <w:color w:val="00274C"/>
                <w:sz w:val="20"/>
                <w:szCs w:val="20"/>
              </w:rPr>
            </w:pPr>
            <w:r>
              <w:rPr>
                <w:color w:val="00274C"/>
                <w:position w:val="-2"/>
                <w:sz w:val="20"/>
                <w:szCs w:val="20"/>
                <w:u w:val="none"/>
              </w:rPr>
              <w:br/>
              <w:t xml:space="preserve">information activation on car panel: upon fault detection</w:t>
            </w:r>
          </w:p>
          <w:p>
            <w:pPr>
              <w:numPr>
                <w:ilvl w:val="0"/>
                <w:numId w:val="19655"/>
              </w:numPr>
              <w:spacing w:before="0" w:after="0" w:line="262" w:lineRule="auto"/>
              <w:jc w:val="left"/>
              <w:rPr>
                <w:color w:val="00274C"/>
                <w:sz w:val="20"/>
                <w:szCs w:val="20"/>
              </w:rPr>
            </w:pPr>
            <w:r>
              <w:rPr>
                <w:color w:val="00274C"/>
                <w:position w:val="-2"/>
                <w:sz w:val="20"/>
                <w:szCs w:val="20"/>
                <w:u w:val="none"/>
              </w:rPr>
              <w:t xml:space="preserve">Level 1 inducement: after 10h from fault detection</w:t>
            </w:r>
          </w:p>
          <w:p>
            <w:pPr>
              <w:numPr>
                <w:ilvl w:val="0"/>
                <w:numId w:val="19655"/>
              </w:numPr>
              <w:spacing w:before="0" w:after="0" w:line="262" w:lineRule="auto"/>
              <w:jc w:val="left"/>
              <w:rPr>
                <w:color w:val="00274C"/>
                <w:sz w:val="20"/>
                <w:szCs w:val="20"/>
              </w:rPr>
            </w:pPr>
            <w:r>
              <w:rPr>
                <w:color w:val="00274C"/>
                <w:position w:val="-2"/>
                <w:sz w:val="20"/>
                <w:szCs w:val="20"/>
                <w:u w:val="none"/>
              </w:rPr>
              <w:t xml:space="preserve">Level 2 inducement: after 20h from fault detection</w:t>
            </w:r>
          </w:p>
          <w:p>
            <w:pPr>
              <w:widowControl w:val="on"/>
              <w:pBdr/>
              <w:spacing w:before="0" w:after="0" w:line="240" w:lineRule="auto"/>
              <w:ind w:left="0" w:right="0"/>
              <w:jc w:val="left"/>
            </w:pPr>
            <w:r>
              <w:rPr>
                <w:b/>
                <w:bCs/>
                <w:i/>
                <w:iCs/>
                <w:color w:val="00274C"/>
                <w:position w:val="-2"/>
                <w:sz w:val="20"/>
                <w:szCs w:val="20"/>
                <w:u w:val="none"/>
              </w:rPr>
              <w:t xml:space="preserve">Interruption of DEF supply</w:t>
            </w:r>
          </w:p>
          <w:p>
            <w:pPr>
              <w:numPr>
                <w:ilvl w:val="0"/>
                <w:numId w:val="19655"/>
              </w:numPr>
              <w:spacing w:before="0" w:after="0" w:line="262" w:lineRule="auto"/>
              <w:jc w:val="left"/>
              <w:rPr>
                <w:color w:val="00274C"/>
                <w:sz w:val="20"/>
                <w:szCs w:val="20"/>
              </w:rPr>
            </w:pPr>
            <w:r>
              <w:rPr>
                <w:color w:val="00274C"/>
                <w:position w:val="-2"/>
                <w:sz w:val="20"/>
                <w:szCs w:val="20"/>
                <w:u w:val="none"/>
              </w:rPr>
              <w:br/>
              <w:t xml:space="preserve">information activation on car panel: upon fault detection</w:t>
            </w:r>
          </w:p>
          <w:p>
            <w:pPr>
              <w:numPr>
                <w:ilvl w:val="0"/>
                <w:numId w:val="19655"/>
              </w:numPr>
              <w:spacing w:before="0" w:after="0" w:line="262" w:lineRule="auto"/>
              <w:jc w:val="left"/>
              <w:rPr>
                <w:color w:val="00274C"/>
                <w:sz w:val="20"/>
                <w:szCs w:val="20"/>
              </w:rPr>
            </w:pPr>
            <w:r>
              <w:rPr>
                <w:color w:val="00274C"/>
                <w:position w:val="-2"/>
                <w:sz w:val="20"/>
                <w:szCs w:val="20"/>
                <w:u w:val="none"/>
              </w:rPr>
              <w:t xml:space="preserve">Level 1 inducement: after 10h from fault detection</w:t>
            </w:r>
          </w:p>
          <w:p>
            <w:pPr>
              <w:numPr>
                <w:ilvl w:val="0"/>
                <w:numId w:val="19655"/>
              </w:numPr>
              <w:spacing w:before="0" w:after="0" w:line="262" w:lineRule="auto"/>
              <w:jc w:val="left"/>
              <w:rPr>
                <w:color w:val="00274C"/>
                <w:sz w:val="20"/>
                <w:szCs w:val="20"/>
              </w:rPr>
            </w:pPr>
            <w:r>
              <w:rPr>
                <w:color w:val="00274C"/>
                <w:position w:val="-2"/>
                <w:sz w:val="20"/>
                <w:szCs w:val="20"/>
                <w:u w:val="none"/>
              </w:rPr>
              <w:t xml:space="preserve">Level 2 inducement: after 20h from fault detection</w:t>
            </w:r>
          </w:p>
          <w:p>
            <w:pPr>
              <w:widowControl w:val="on"/>
              <w:pBdr/>
              <w:spacing w:before="0" w:after="0" w:line="240" w:lineRule="auto"/>
              <w:ind w:left="0" w:right="0"/>
              <w:jc w:val="left"/>
            </w:pPr>
            <w:r>
              <w:rPr>
                <w:b/>
                <w:bCs/>
                <w:i/>
                <w:iCs/>
                <w:color w:val="00274C"/>
                <w:position w:val="-2"/>
                <w:sz w:val="20"/>
                <w:szCs w:val="20"/>
                <w:u w:val="none"/>
              </w:rPr>
              <w:t xml:space="preserve">EGR valve malfunctioning</w:t>
            </w:r>
          </w:p>
          <w:p>
            <w:pPr>
              <w:numPr>
                <w:ilvl w:val="0"/>
                <w:numId w:val="19655"/>
              </w:numPr>
              <w:spacing w:before="0" w:after="0" w:line="262" w:lineRule="auto"/>
              <w:jc w:val="left"/>
              <w:rPr>
                <w:color w:val="00274C"/>
                <w:sz w:val="20"/>
                <w:szCs w:val="20"/>
              </w:rPr>
            </w:pPr>
            <w:r>
              <w:rPr>
                <w:color w:val="00274C"/>
                <w:position w:val="-2"/>
                <w:sz w:val="20"/>
                <w:szCs w:val="20"/>
                <w:u w:val="none"/>
              </w:rPr>
              <w:br/>
              <w:t xml:space="preserve">information activation on car panel: upon fault detection</w:t>
            </w:r>
          </w:p>
          <w:p>
            <w:pPr>
              <w:numPr>
                <w:ilvl w:val="0"/>
                <w:numId w:val="19655"/>
              </w:numPr>
              <w:spacing w:before="0" w:after="0" w:line="262" w:lineRule="auto"/>
              <w:jc w:val="left"/>
              <w:rPr>
                <w:color w:val="00274C"/>
                <w:sz w:val="20"/>
                <w:szCs w:val="20"/>
              </w:rPr>
            </w:pPr>
            <w:r>
              <w:rPr>
                <w:color w:val="00274C"/>
                <w:position w:val="-2"/>
                <w:sz w:val="20"/>
                <w:szCs w:val="20"/>
                <w:u w:val="none"/>
              </w:rPr>
              <w:t xml:space="preserve">Level 1 inducement: after 36h from fault detection</w:t>
            </w:r>
          </w:p>
          <w:p>
            <w:pPr>
              <w:numPr>
                <w:ilvl w:val="0"/>
                <w:numId w:val="19655"/>
              </w:numPr>
              <w:spacing w:before="0" w:after="0" w:line="262" w:lineRule="auto"/>
              <w:jc w:val="left"/>
              <w:rPr>
                <w:color w:val="00274C"/>
                <w:sz w:val="20"/>
                <w:szCs w:val="20"/>
              </w:rPr>
            </w:pPr>
            <w:r>
              <w:rPr>
                <w:color w:val="00274C"/>
                <w:position w:val="-2"/>
                <w:sz w:val="20"/>
                <w:szCs w:val="20"/>
                <w:u w:val="none"/>
              </w:rPr>
              <w:t xml:space="preserve">Level 2 inducement: after 100h from fault detection</w:t>
            </w:r>
          </w:p>
          <w:p>
            <w:pPr>
              <w:widowControl w:val="on"/>
              <w:pBdr/>
              <w:spacing w:before="0" w:after="0" w:line="240" w:lineRule="auto"/>
              <w:ind w:left="0" w:right="0"/>
              <w:jc w:val="left"/>
            </w:pPr>
            <w:r>
              <w:rPr>
                <w:b/>
                <w:bCs/>
                <w:i/>
                <w:iCs/>
                <w:color w:val="00274C"/>
                <w:position w:val="-2"/>
                <w:sz w:val="20"/>
                <w:szCs w:val="20"/>
                <w:u w:val="none"/>
              </w:rPr>
              <w:t xml:space="preserve">Tampering with the monitoring systems of the ATS system</w:t>
            </w:r>
          </w:p>
          <w:p>
            <w:pPr>
              <w:numPr>
                <w:ilvl w:val="0"/>
                <w:numId w:val="19655"/>
              </w:numPr>
              <w:spacing w:before="0" w:after="0" w:line="262" w:lineRule="auto"/>
              <w:jc w:val="left"/>
              <w:rPr>
                <w:color w:val="00274C"/>
                <w:sz w:val="20"/>
                <w:szCs w:val="20"/>
              </w:rPr>
            </w:pPr>
            <w:r>
              <w:rPr>
                <w:color w:val="00274C"/>
                <w:position w:val="-2"/>
                <w:sz w:val="20"/>
                <w:szCs w:val="20"/>
                <w:u w:val="none"/>
              </w:rPr>
              <w:br/>
              <w:t xml:space="preserve">information activation on car panel: upon fault detection</w:t>
            </w:r>
          </w:p>
          <w:p>
            <w:pPr>
              <w:numPr>
                <w:ilvl w:val="0"/>
                <w:numId w:val="19655"/>
              </w:numPr>
              <w:spacing w:before="0" w:after="0" w:line="262" w:lineRule="auto"/>
              <w:jc w:val="left"/>
              <w:rPr>
                <w:color w:val="00274C"/>
                <w:sz w:val="20"/>
                <w:szCs w:val="20"/>
              </w:rPr>
            </w:pPr>
            <w:r>
              <w:rPr>
                <w:color w:val="00274C"/>
                <w:position w:val="-2"/>
                <w:sz w:val="20"/>
                <w:szCs w:val="20"/>
                <w:u w:val="none"/>
              </w:rPr>
              <w:t xml:space="preserve">Level 1 inducement: after 36h from fault detection</w:t>
            </w:r>
          </w:p>
          <w:p>
            <w:pPr>
              <w:numPr>
                <w:ilvl w:val="0"/>
                <w:numId w:val="19655"/>
              </w:numPr>
              <w:spacing w:before="0" w:after="0" w:line="262" w:lineRule="auto"/>
              <w:jc w:val="left"/>
              <w:rPr>
                <w:color w:val="00274C"/>
                <w:sz w:val="20"/>
                <w:szCs w:val="20"/>
              </w:rPr>
            </w:pPr>
            <w:r>
              <w:rPr>
                <w:color w:val="00274C"/>
                <w:position w:val="-2"/>
                <w:sz w:val="20"/>
                <w:szCs w:val="20"/>
                <w:u w:val="none"/>
              </w:rPr>
              <w:t xml:space="preserve">Level 2 inducement: after 100h from fault detection</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The strategy for the different faults is listed below (Tier 4 Final - USA):</w:t>
            </w:r>
          </w:p>
          <w:p/>
          <w:p/>
          <w:p>
            <w:pPr>
              <w:widowControl w:val="on"/>
              <w:pBdr/>
              <w:spacing w:before="0" w:after="0" w:line="262" w:lineRule="auto"/>
              <w:ind w:left="0" w:right="0"/>
              <w:jc w:val="left"/>
              <w:textAlignment w:val="center"/>
            </w:pPr>
            <w:r>
              <w:rPr>
                <w:color w:val="00274C"/>
                <w:position w:val="-2"/>
                <w:sz w:val="20"/>
                <w:szCs w:val="20"/>
                <w:u w:val="none"/>
              </w:rPr>
              <w:t xml:space="preserve">The inducement can have the following 3 levels:</w:t>
            </w:r>
          </w:p>
          <w:p>
            <w:pPr>
              <w:numPr>
                <w:ilvl w:val="0"/>
                <w:numId w:val="19655"/>
              </w:numPr>
              <w:spacing w:before="0" w:after="0" w:line="262" w:lineRule="auto"/>
              <w:jc w:val="left"/>
              <w:rPr>
                <w:color w:val="00274C"/>
                <w:sz w:val="20"/>
                <w:szCs w:val="20"/>
              </w:rPr>
            </w:pPr>
            <w:r>
              <w:rPr>
                <w:color w:val="00274C"/>
                <w:position w:val="-2"/>
                <w:sz w:val="20"/>
                <w:szCs w:val="20"/>
                <w:u w:val="none"/>
              </w:rPr>
              <w:t xml:space="preserve">Level 1: 25% reduction of the MAX available torque.</w:t>
            </w:r>
          </w:p>
          <w:p>
            <w:pPr>
              <w:numPr>
                <w:ilvl w:val="0"/>
                <w:numId w:val="19655"/>
              </w:numPr>
              <w:spacing w:before="0" w:after="0" w:line="262" w:lineRule="auto"/>
              <w:jc w:val="left"/>
              <w:rPr>
                <w:color w:val="00274C"/>
                <w:sz w:val="20"/>
                <w:szCs w:val="20"/>
              </w:rPr>
            </w:pPr>
            <w:r>
              <w:rPr>
                <w:color w:val="00274C"/>
                <w:position w:val="-2"/>
                <w:sz w:val="20"/>
                <w:szCs w:val="20"/>
                <w:u w:val="none"/>
              </w:rPr>
              <w:t xml:space="preserve">Level 2: 50% reduction of the MAX available torque and 40% reduction of MAX rpm available.</w:t>
            </w:r>
          </w:p>
          <w:p>
            <w:pPr>
              <w:numPr>
                <w:ilvl w:val="0"/>
                <w:numId w:val="19655"/>
              </w:numPr>
              <w:spacing w:before="0" w:after="0" w:line="262" w:lineRule="auto"/>
              <w:jc w:val="left"/>
              <w:rPr>
                <w:color w:val="00274C"/>
                <w:sz w:val="20"/>
                <w:szCs w:val="20"/>
              </w:rPr>
            </w:pPr>
            <w:r>
              <w:rPr>
                <w:color w:val="00274C"/>
                <w:position w:val="-2"/>
                <w:sz w:val="20"/>
                <w:szCs w:val="20"/>
                <w:u w:val="none"/>
              </w:rPr>
              <w:t xml:space="preserve">Level 3: the engine operates at minimum rpm and MAX torque available</w:t>
            </w:r>
          </w:p>
          <w:p/>
          <w:p>
            <w:pPr>
              <w:widowControl w:val="on"/>
              <w:pBdr/>
              <w:spacing w:before="0" w:after="0" w:line="240" w:lineRule="auto"/>
              <w:ind w:left="0" w:right="0"/>
              <w:jc w:val="left"/>
            </w:pPr>
            <w:r>
              <w:rPr>
                <w:color w:val="00274C"/>
                <w:position w:val="-2"/>
                <w:sz w:val="20"/>
                <w:szCs w:val="20"/>
                <w:u w:val="none"/>
              </w:rPr>
              <w:t xml:space="preserve">
Before activating the inducement (level 1, level 2 or level 3) the ECU activates a warning or a warning light on the car panel (refer to the car documentation for the warning type).
</w:t>
            </w:r>
          </w:p>
          <w:p>
            <w:pPr>
              <w:widowControl w:val="on"/>
              <w:pBdr/>
              <w:spacing w:before="0" w:after="0" w:line="262" w:lineRule="auto"/>
              <w:ind w:left="0" w:right="0"/>
              <w:jc w:val="left"/>
              <w:textAlignment w:val="center"/>
            </w:pPr>
            <w:r>
              <w:rPr>
                <w:b/>
                <w:bCs/>
                <w:i/>
                <w:iCs/>
                <w:color w:val="00274C"/>
                <w:position w:val="-2"/>
                <w:sz w:val="20"/>
                <w:szCs w:val="20"/>
                <w:u w:val="none"/>
              </w:rPr>
              <w:br/>
              <w:t xml:space="preserve">Low DEF level</w:t>
            </w:r>
          </w:p>
          <w:p>
            <w:pPr>
              <w:numPr>
                <w:ilvl w:val="0"/>
                <w:numId w:val="19655"/>
              </w:numPr>
              <w:spacing w:before="0" w:after="0" w:line="262" w:lineRule="auto"/>
              <w:jc w:val="left"/>
              <w:rPr>
                <w:color w:val="00274C"/>
                <w:sz w:val="20"/>
                <w:szCs w:val="20"/>
              </w:rPr>
            </w:pPr>
            <w:r>
              <w:rPr>
                <w:color w:val="00274C"/>
                <w:position w:val="-2"/>
                <w:sz w:val="20"/>
                <w:szCs w:val="20"/>
                <w:u w:val="none"/>
              </w:rPr>
              <w:t xml:space="preserve">information activation on car panel: &lt;10% of MAX level</w:t>
            </w:r>
          </w:p>
          <w:p>
            <w:pPr>
              <w:numPr>
                <w:ilvl w:val="0"/>
                <w:numId w:val="19655"/>
              </w:numPr>
              <w:spacing w:before="0" w:after="0" w:line="262" w:lineRule="auto"/>
              <w:jc w:val="left"/>
              <w:rPr>
                <w:color w:val="00274C"/>
                <w:sz w:val="20"/>
                <w:szCs w:val="20"/>
              </w:rPr>
            </w:pPr>
            <w:r>
              <w:rPr>
                <w:color w:val="00274C"/>
                <w:position w:val="-2"/>
                <w:sz w:val="20"/>
                <w:szCs w:val="20"/>
                <w:u w:val="none"/>
              </w:rPr>
              <w:t xml:space="preserve">Level 1 inducement: &lt;5% of MAX level</w:t>
            </w:r>
          </w:p>
          <w:p>
            <w:pPr>
              <w:numPr>
                <w:ilvl w:val="0"/>
                <w:numId w:val="19655"/>
              </w:numPr>
              <w:spacing w:before="0" w:after="0" w:line="262" w:lineRule="auto"/>
              <w:jc w:val="left"/>
              <w:rPr>
                <w:color w:val="00274C"/>
                <w:sz w:val="20"/>
                <w:szCs w:val="20"/>
              </w:rPr>
            </w:pPr>
            <w:r>
              <w:rPr>
                <w:color w:val="00274C"/>
                <w:position w:val="-2"/>
                <w:sz w:val="20"/>
                <w:szCs w:val="20"/>
                <w:u w:val="none"/>
              </w:rPr>
              <w:t xml:space="preserve">Level 2 inducement: &lt;2.5% of MAX level</w:t>
            </w:r>
          </w:p>
          <w:p>
            <w:pPr>
              <w:numPr>
                <w:ilvl w:val="0"/>
                <w:numId w:val="19655"/>
              </w:numPr>
              <w:spacing w:before="0" w:after="0" w:line="262" w:lineRule="auto"/>
              <w:jc w:val="left"/>
              <w:rPr>
                <w:color w:val="00274C"/>
                <w:sz w:val="20"/>
                <w:szCs w:val="20"/>
              </w:rPr>
            </w:pPr>
            <w:r>
              <w:rPr>
                <w:color w:val="00274C"/>
                <w:position w:val="-2"/>
                <w:sz w:val="20"/>
                <w:szCs w:val="20"/>
                <w:u w:val="none"/>
              </w:rPr>
              <w:t xml:space="preserve">Level 3 inducement: &lt;0.5% of MAX level</w:t>
            </w:r>
          </w:p>
          <w:p>
            <w:pPr>
              <w:widowControl w:val="on"/>
              <w:pBdr/>
              <w:spacing w:before="0" w:after="0" w:line="240" w:lineRule="auto"/>
              <w:ind w:left="0" w:right="0"/>
              <w:jc w:val="left"/>
            </w:pPr>
            <w:r>
              <w:rPr>
                <w:b/>
                <w:bCs/>
                <w:i/>
                <w:iCs/>
                <w:color w:val="00274C"/>
                <w:position w:val="-2"/>
                <w:sz w:val="20"/>
                <w:szCs w:val="20"/>
                <w:u w:val="none"/>
              </w:rPr>
              <w:t xml:space="preserve">Poor DEF quality</w:t>
            </w:r>
          </w:p>
          <w:p>
            <w:pPr>
              <w:numPr>
                <w:ilvl w:val="0"/>
                <w:numId w:val="19655"/>
              </w:numPr>
              <w:spacing w:before="0" w:after="0" w:line="262" w:lineRule="auto"/>
              <w:jc w:val="left"/>
              <w:rPr>
                <w:color w:val="00274C"/>
                <w:sz w:val="20"/>
                <w:szCs w:val="20"/>
              </w:rPr>
            </w:pPr>
            <w:r>
              <w:rPr>
                <w:color w:val="00274C"/>
                <w:position w:val="-2"/>
                <w:sz w:val="20"/>
                <w:szCs w:val="20"/>
                <w:u w:val="none"/>
              </w:rPr>
              <w:br/>
              <w:t xml:space="preserve">information activation on car panel: upon fault detection</w:t>
            </w:r>
          </w:p>
          <w:p>
            <w:pPr>
              <w:numPr>
                <w:ilvl w:val="0"/>
                <w:numId w:val="19655"/>
              </w:numPr>
              <w:spacing w:before="0" w:after="0" w:line="262" w:lineRule="auto"/>
              <w:jc w:val="left"/>
              <w:rPr>
                <w:color w:val="00274C"/>
                <w:sz w:val="20"/>
                <w:szCs w:val="20"/>
              </w:rPr>
            </w:pPr>
            <w:r>
              <w:rPr>
                <w:color w:val="00274C"/>
                <w:position w:val="-2"/>
                <w:sz w:val="20"/>
                <w:szCs w:val="20"/>
                <w:u w:val="none"/>
              </w:rPr>
              <w:t xml:space="preserve">Level 1 inducement: after 1h from fault detection</w:t>
            </w:r>
          </w:p>
          <w:p>
            <w:pPr>
              <w:numPr>
                <w:ilvl w:val="0"/>
                <w:numId w:val="19655"/>
              </w:numPr>
              <w:spacing w:before="0" w:after="0" w:line="262" w:lineRule="auto"/>
              <w:jc w:val="left"/>
              <w:rPr>
                <w:color w:val="00274C"/>
                <w:sz w:val="20"/>
                <w:szCs w:val="20"/>
              </w:rPr>
            </w:pPr>
            <w:r>
              <w:rPr>
                <w:color w:val="00274C"/>
                <w:position w:val="-2"/>
                <w:sz w:val="20"/>
                <w:szCs w:val="20"/>
                <w:u w:val="none"/>
              </w:rPr>
              <w:t xml:space="preserve">Level 2 inducement: after 2h from fault detection</w:t>
            </w:r>
          </w:p>
          <w:p>
            <w:pPr>
              <w:numPr>
                <w:ilvl w:val="0"/>
                <w:numId w:val="19655"/>
              </w:numPr>
              <w:spacing w:before="0" w:after="0" w:line="262" w:lineRule="auto"/>
              <w:jc w:val="left"/>
              <w:rPr>
                <w:color w:val="00274C"/>
                <w:sz w:val="20"/>
                <w:szCs w:val="20"/>
              </w:rPr>
            </w:pPr>
            <w:r>
              <w:rPr>
                <w:color w:val="00274C"/>
                <w:position w:val="-2"/>
                <w:sz w:val="20"/>
                <w:szCs w:val="20"/>
                <w:u w:val="none"/>
              </w:rPr>
              <w:t xml:space="preserve">Level 3 inducement: after 3h from fault detection</w:t>
            </w:r>
          </w:p>
          <w:p>
            <w:pPr>
              <w:widowControl w:val="on"/>
              <w:pBdr/>
              <w:spacing w:before="0" w:after="0" w:line="240" w:lineRule="auto"/>
              <w:ind w:left="0" w:right="0"/>
              <w:jc w:val="left"/>
            </w:pPr>
            <w:r>
              <w:rPr>
                <w:b/>
                <w:bCs/>
                <w:i/>
                <w:iCs/>
                <w:color w:val="00274C"/>
                <w:position w:val="-2"/>
                <w:sz w:val="20"/>
                <w:szCs w:val="20"/>
                <w:u w:val="none"/>
              </w:rPr>
              <w:t xml:space="preserve">Interruption of DEF supply</w:t>
            </w:r>
          </w:p>
          <w:p>
            <w:pPr>
              <w:numPr>
                <w:ilvl w:val="0"/>
                <w:numId w:val="19655"/>
              </w:numPr>
              <w:spacing w:before="0" w:after="0" w:line="262" w:lineRule="auto"/>
              <w:jc w:val="left"/>
              <w:rPr>
                <w:color w:val="00274C"/>
                <w:sz w:val="20"/>
                <w:szCs w:val="20"/>
              </w:rPr>
            </w:pPr>
            <w:r>
              <w:rPr>
                <w:color w:val="00274C"/>
                <w:position w:val="-2"/>
                <w:sz w:val="20"/>
                <w:szCs w:val="20"/>
                <w:u w:val="none"/>
              </w:rPr>
              <w:br/>
              <w:t xml:space="preserve">information activation on car panel: upon fault detection</w:t>
            </w:r>
          </w:p>
          <w:p>
            <w:pPr>
              <w:numPr>
                <w:ilvl w:val="0"/>
                <w:numId w:val="19655"/>
              </w:numPr>
              <w:spacing w:before="0" w:after="0" w:line="262" w:lineRule="auto"/>
              <w:jc w:val="left"/>
              <w:rPr>
                <w:color w:val="00274C"/>
                <w:sz w:val="20"/>
                <w:szCs w:val="20"/>
              </w:rPr>
            </w:pPr>
            <w:r>
              <w:rPr>
                <w:color w:val="00274C"/>
                <w:position w:val="-2"/>
                <w:sz w:val="20"/>
                <w:szCs w:val="20"/>
                <w:u w:val="none"/>
              </w:rPr>
              <w:t xml:space="preserve">Level 1 inducement: after 1h from fault detection</w:t>
            </w:r>
          </w:p>
          <w:p>
            <w:pPr>
              <w:numPr>
                <w:ilvl w:val="0"/>
                <w:numId w:val="19655"/>
              </w:numPr>
              <w:spacing w:before="0" w:after="0" w:line="262" w:lineRule="auto"/>
              <w:jc w:val="left"/>
              <w:rPr>
                <w:color w:val="00274C"/>
                <w:sz w:val="20"/>
                <w:szCs w:val="20"/>
              </w:rPr>
            </w:pPr>
            <w:r>
              <w:rPr>
                <w:color w:val="00274C"/>
                <w:position w:val="-2"/>
                <w:sz w:val="20"/>
                <w:szCs w:val="20"/>
                <w:u w:val="none"/>
              </w:rPr>
              <w:t xml:space="preserve">Level 2 inducement: after 2h from fault detection</w:t>
            </w:r>
          </w:p>
          <w:p>
            <w:pPr>
              <w:numPr>
                <w:ilvl w:val="0"/>
                <w:numId w:val="19655"/>
              </w:numPr>
              <w:spacing w:before="0" w:after="0" w:line="262" w:lineRule="auto"/>
              <w:jc w:val="left"/>
              <w:rPr>
                <w:color w:val="00274C"/>
                <w:sz w:val="20"/>
                <w:szCs w:val="20"/>
              </w:rPr>
            </w:pPr>
            <w:r>
              <w:rPr>
                <w:color w:val="00274C"/>
                <w:position w:val="-2"/>
                <w:sz w:val="20"/>
                <w:szCs w:val="20"/>
                <w:u w:val="none"/>
              </w:rPr>
              <w:t xml:space="preserve">Level 3 inducement: after 3h from fault detection</w:t>
            </w:r>
          </w:p>
          <w:p>
            <w:pPr>
              <w:widowControl w:val="on"/>
              <w:pBdr/>
              <w:spacing w:before="0" w:after="0" w:line="240" w:lineRule="auto"/>
              <w:ind w:left="0" w:right="0"/>
              <w:jc w:val="left"/>
            </w:pPr>
            <w:r>
              <w:rPr>
                <w:b/>
                <w:bCs/>
                <w:i/>
                <w:iCs/>
                <w:color w:val="00274C"/>
                <w:position w:val="-2"/>
                <w:sz w:val="20"/>
                <w:szCs w:val="20"/>
                <w:u w:val="none"/>
              </w:rPr>
              <w:t xml:space="preserve">EGR valve malfunctioning</w:t>
            </w:r>
          </w:p>
          <w:p>
            <w:pPr>
              <w:numPr>
                <w:ilvl w:val="0"/>
                <w:numId w:val="19655"/>
              </w:numPr>
              <w:spacing w:before="0" w:after="0" w:line="262" w:lineRule="auto"/>
              <w:jc w:val="left"/>
              <w:rPr>
                <w:color w:val="00274C"/>
                <w:sz w:val="20"/>
                <w:szCs w:val="20"/>
              </w:rPr>
            </w:pPr>
            <w:r>
              <w:rPr>
                <w:color w:val="00274C"/>
                <w:position w:val="-2"/>
                <w:sz w:val="20"/>
                <w:szCs w:val="20"/>
                <w:u w:val="none"/>
              </w:rPr>
              <w:br/>
              <w:t xml:space="preserve">information activation on car panel: upon fault detection</w:t>
            </w:r>
          </w:p>
          <w:p>
            <w:pPr>
              <w:numPr>
                <w:ilvl w:val="0"/>
                <w:numId w:val="19655"/>
              </w:numPr>
              <w:spacing w:before="0" w:after="0" w:line="262" w:lineRule="auto"/>
              <w:jc w:val="left"/>
              <w:rPr>
                <w:color w:val="00274C"/>
                <w:sz w:val="20"/>
                <w:szCs w:val="20"/>
              </w:rPr>
            </w:pPr>
            <w:r>
              <w:rPr>
                <w:color w:val="00274C"/>
                <w:position w:val="-2"/>
                <w:sz w:val="20"/>
                <w:szCs w:val="20"/>
                <w:u w:val="none"/>
              </w:rPr>
              <w:t xml:space="preserve">Level 1 inducement: after 1h from fault detection</w:t>
            </w:r>
          </w:p>
          <w:p>
            <w:pPr>
              <w:numPr>
                <w:ilvl w:val="0"/>
                <w:numId w:val="19655"/>
              </w:numPr>
              <w:spacing w:before="0" w:after="0" w:line="262" w:lineRule="auto"/>
              <w:jc w:val="left"/>
              <w:rPr>
                <w:color w:val="00274C"/>
                <w:sz w:val="20"/>
                <w:szCs w:val="20"/>
              </w:rPr>
            </w:pPr>
            <w:r>
              <w:rPr>
                <w:color w:val="00274C"/>
                <w:position w:val="-2"/>
                <w:sz w:val="20"/>
                <w:szCs w:val="20"/>
                <w:u w:val="none"/>
              </w:rPr>
              <w:t xml:space="preserve">Level 2 inducement: after 2h from fault detection</w:t>
            </w:r>
          </w:p>
          <w:p>
            <w:pPr>
              <w:numPr>
                <w:ilvl w:val="0"/>
                <w:numId w:val="19655"/>
              </w:numPr>
              <w:spacing w:before="0" w:after="0" w:line="262" w:lineRule="auto"/>
              <w:jc w:val="left"/>
              <w:rPr>
                <w:color w:val="00274C"/>
                <w:sz w:val="20"/>
                <w:szCs w:val="20"/>
              </w:rPr>
            </w:pPr>
            <w:r>
              <w:rPr>
                <w:color w:val="00274C"/>
                <w:position w:val="-2"/>
                <w:sz w:val="20"/>
                <w:szCs w:val="20"/>
                <w:u w:val="none"/>
              </w:rPr>
              <w:t xml:space="preserve">Level 3 inducement: after 3h from fault detection</w:t>
            </w:r>
          </w:p>
          <w:p>
            <w:pPr>
              <w:widowControl w:val="on"/>
              <w:pBdr/>
              <w:spacing w:before="0" w:after="0" w:line="240" w:lineRule="auto"/>
              <w:ind w:left="0" w:right="0"/>
              <w:jc w:val="left"/>
            </w:pPr>
            <w:r>
              <w:rPr>
                <w:b/>
                <w:bCs/>
                <w:i/>
                <w:iCs/>
                <w:color w:val="00274C"/>
                <w:position w:val="-2"/>
                <w:sz w:val="20"/>
                <w:szCs w:val="20"/>
                <w:u w:val="none"/>
              </w:rPr>
              <w:t xml:space="preserve">Tampering with the monitoring systems of the ATS system</w:t>
            </w:r>
          </w:p>
          <w:p>
            <w:pPr>
              <w:numPr>
                <w:ilvl w:val="0"/>
                <w:numId w:val="19655"/>
              </w:numPr>
              <w:spacing w:before="0" w:after="0" w:line="262" w:lineRule="auto"/>
              <w:jc w:val="left"/>
              <w:rPr>
                <w:color w:val="00274C"/>
                <w:sz w:val="20"/>
                <w:szCs w:val="20"/>
              </w:rPr>
            </w:pPr>
            <w:r>
              <w:rPr>
                <w:color w:val="00274C"/>
                <w:position w:val="-2"/>
                <w:sz w:val="20"/>
                <w:szCs w:val="20"/>
                <w:u w:val="none"/>
              </w:rPr>
              <w:br/>
              <w:t xml:space="preserve">information activation on car panel: upon fault detection</w:t>
            </w:r>
          </w:p>
          <w:p>
            <w:pPr>
              <w:numPr>
                <w:ilvl w:val="0"/>
                <w:numId w:val="19655"/>
              </w:numPr>
              <w:spacing w:before="0" w:after="0" w:line="262" w:lineRule="auto"/>
              <w:jc w:val="left"/>
              <w:rPr>
                <w:color w:val="00274C"/>
                <w:sz w:val="20"/>
                <w:szCs w:val="20"/>
              </w:rPr>
            </w:pPr>
            <w:r>
              <w:rPr>
                <w:color w:val="00274C"/>
                <w:position w:val="-2"/>
                <w:sz w:val="20"/>
                <w:szCs w:val="20"/>
                <w:u w:val="none"/>
              </w:rPr>
              <w:t xml:space="preserve">Level 1 inducement: after 1h from fault detection</w:t>
            </w:r>
          </w:p>
          <w:p>
            <w:pPr>
              <w:numPr>
                <w:ilvl w:val="0"/>
                <w:numId w:val="19655"/>
              </w:numPr>
              <w:spacing w:before="0" w:after="0" w:line="262" w:lineRule="auto"/>
              <w:jc w:val="left"/>
              <w:rPr>
                <w:color w:val="00274C"/>
                <w:sz w:val="20"/>
                <w:szCs w:val="20"/>
              </w:rPr>
            </w:pPr>
            <w:r>
              <w:rPr>
                <w:color w:val="00274C"/>
                <w:position w:val="-2"/>
                <w:sz w:val="20"/>
                <w:szCs w:val="20"/>
                <w:u w:val="none"/>
              </w:rPr>
              <w:t xml:space="preserve">Level 2 inducement: after 2h from fault detection</w:t>
            </w:r>
          </w:p>
          <w:p>
            <w:pPr>
              <w:numPr>
                <w:ilvl w:val="0"/>
                <w:numId w:val="19655"/>
              </w:numPr>
              <w:spacing w:before="0" w:after="0" w:line="262" w:lineRule="auto"/>
              <w:jc w:val="left"/>
              <w:rPr>
                <w:color w:val="00274C"/>
                <w:sz w:val="20"/>
                <w:szCs w:val="20"/>
              </w:rPr>
            </w:pPr>
            <w:r>
              <w:rPr>
                <w:color w:val="00274C"/>
                <w:position w:val="-2"/>
                <w:sz w:val="20"/>
                <w:szCs w:val="20"/>
                <w:u w:val="none"/>
              </w:rPr>
              <w:t xml:space="preserve">Level 3 inducement: after 3h from fault detection</w:t>
            </w:r>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19658">
    <w:multiLevelType w:val="hybridMultilevel"/>
    <w:lvl w:ilvl="0" w:tplc="68813136">
      <w:start w:val="1"/>
      <w:numFmt w:val="decimal"/>
      <w:lvlText w:val="%1."/>
      <w:lvlJc w:val="left"/>
      <w:pPr>
        <w:ind w:left="720" w:hanging="360"/>
      </w:pPr>
    </w:lvl>
    <w:lvl w:ilvl="1" w:tplc="68813136" w:tentative="1">
      <w:start w:val="1"/>
      <w:numFmt w:val="lowerLetter"/>
      <w:lvlText w:val="%2."/>
      <w:lvlJc w:val="left"/>
      <w:pPr>
        <w:ind w:left="1440" w:hanging="360"/>
      </w:pPr>
    </w:lvl>
    <w:lvl w:ilvl="2" w:tplc="68813136" w:tentative="1">
      <w:start w:val="1"/>
      <w:numFmt w:val="lowerRoman"/>
      <w:lvlText w:val="%3."/>
      <w:lvlJc w:val="right"/>
      <w:pPr>
        <w:ind w:left="2160" w:hanging="180"/>
      </w:pPr>
    </w:lvl>
    <w:lvl w:ilvl="3" w:tplc="68813136" w:tentative="1">
      <w:start w:val="1"/>
      <w:numFmt w:val="decimal"/>
      <w:lvlText w:val="%4."/>
      <w:lvlJc w:val="left"/>
      <w:pPr>
        <w:ind w:left="2880" w:hanging="360"/>
      </w:pPr>
    </w:lvl>
    <w:lvl w:ilvl="4" w:tplc="68813136" w:tentative="1">
      <w:start w:val="1"/>
      <w:numFmt w:val="lowerLetter"/>
      <w:lvlText w:val="%5."/>
      <w:lvlJc w:val="left"/>
      <w:pPr>
        <w:ind w:left="3600" w:hanging="360"/>
      </w:pPr>
    </w:lvl>
    <w:lvl w:ilvl="5" w:tplc="68813136" w:tentative="1">
      <w:start w:val="1"/>
      <w:numFmt w:val="lowerRoman"/>
      <w:lvlText w:val="%6."/>
      <w:lvlJc w:val="right"/>
      <w:pPr>
        <w:ind w:left="4320" w:hanging="180"/>
      </w:pPr>
    </w:lvl>
    <w:lvl w:ilvl="6" w:tplc="68813136" w:tentative="1">
      <w:start w:val="1"/>
      <w:numFmt w:val="decimal"/>
      <w:lvlText w:val="%7."/>
      <w:lvlJc w:val="left"/>
      <w:pPr>
        <w:ind w:left="5040" w:hanging="360"/>
      </w:pPr>
    </w:lvl>
    <w:lvl w:ilvl="7" w:tplc="68813136" w:tentative="1">
      <w:start w:val="1"/>
      <w:numFmt w:val="lowerLetter"/>
      <w:lvlText w:val="%8."/>
      <w:lvlJc w:val="left"/>
      <w:pPr>
        <w:ind w:left="5760" w:hanging="360"/>
      </w:pPr>
    </w:lvl>
    <w:lvl w:ilvl="8" w:tplc="68813136" w:tentative="1">
      <w:start w:val="1"/>
      <w:numFmt w:val="lowerRoman"/>
      <w:lvlText w:val="%9."/>
      <w:lvlJc w:val="right"/>
      <w:pPr>
        <w:ind w:left="6480" w:hanging="180"/>
      </w:pPr>
    </w:lvl>
  </w:abstractNum>
  <w:abstractNum w:abstractNumId="19657">
    <w:multiLevelType w:val="hybridMultilevel"/>
    <w:lvl w:ilvl="0" w:tplc="71411910">
      <w:start w:val="1"/>
      <w:numFmt w:val="decimal"/>
      <w:lvlText w:val="%1."/>
      <w:lvlJc w:val="left"/>
      <w:pPr>
        <w:ind w:left="720" w:hanging="360"/>
      </w:pPr>
    </w:lvl>
    <w:lvl w:ilvl="1" w:tplc="71411910" w:tentative="1">
      <w:start w:val="1"/>
      <w:numFmt w:val="lowerLetter"/>
      <w:lvlText w:val="%2."/>
      <w:lvlJc w:val="left"/>
      <w:pPr>
        <w:ind w:left="1440" w:hanging="360"/>
      </w:pPr>
    </w:lvl>
    <w:lvl w:ilvl="2" w:tplc="71411910" w:tentative="1">
      <w:start w:val="1"/>
      <w:numFmt w:val="lowerRoman"/>
      <w:lvlText w:val="%3."/>
      <w:lvlJc w:val="right"/>
      <w:pPr>
        <w:ind w:left="2160" w:hanging="180"/>
      </w:pPr>
    </w:lvl>
    <w:lvl w:ilvl="3" w:tplc="71411910" w:tentative="1">
      <w:start w:val="1"/>
      <w:numFmt w:val="decimal"/>
      <w:lvlText w:val="%4."/>
      <w:lvlJc w:val="left"/>
      <w:pPr>
        <w:ind w:left="2880" w:hanging="360"/>
      </w:pPr>
    </w:lvl>
    <w:lvl w:ilvl="4" w:tplc="71411910" w:tentative="1">
      <w:start w:val="1"/>
      <w:numFmt w:val="lowerLetter"/>
      <w:lvlText w:val="%5."/>
      <w:lvlJc w:val="left"/>
      <w:pPr>
        <w:ind w:left="3600" w:hanging="360"/>
      </w:pPr>
    </w:lvl>
    <w:lvl w:ilvl="5" w:tplc="71411910" w:tentative="1">
      <w:start w:val="1"/>
      <w:numFmt w:val="lowerRoman"/>
      <w:lvlText w:val="%6."/>
      <w:lvlJc w:val="right"/>
      <w:pPr>
        <w:ind w:left="4320" w:hanging="180"/>
      </w:pPr>
    </w:lvl>
    <w:lvl w:ilvl="6" w:tplc="71411910" w:tentative="1">
      <w:start w:val="1"/>
      <w:numFmt w:val="decimal"/>
      <w:lvlText w:val="%7."/>
      <w:lvlJc w:val="left"/>
      <w:pPr>
        <w:ind w:left="5040" w:hanging="360"/>
      </w:pPr>
    </w:lvl>
    <w:lvl w:ilvl="7" w:tplc="71411910" w:tentative="1">
      <w:start w:val="1"/>
      <w:numFmt w:val="lowerLetter"/>
      <w:lvlText w:val="%8."/>
      <w:lvlJc w:val="left"/>
      <w:pPr>
        <w:ind w:left="5760" w:hanging="360"/>
      </w:pPr>
    </w:lvl>
    <w:lvl w:ilvl="8" w:tplc="71411910" w:tentative="1">
      <w:start w:val="1"/>
      <w:numFmt w:val="lowerRoman"/>
      <w:lvlText w:val="%9."/>
      <w:lvlJc w:val="right"/>
      <w:pPr>
        <w:ind w:left="6480" w:hanging="180"/>
      </w:pPr>
    </w:lvl>
  </w:abstractNum>
  <w:abstractNum w:abstractNumId="19656">
    <w:multiLevelType w:val="hybridMultilevel"/>
    <w:lvl w:ilvl="0" w:tplc="68833565">
      <w:start w:val="1"/>
      <w:numFmt w:val="decimal"/>
      <w:lvlText w:val="%1."/>
      <w:lvlJc w:val="left"/>
      <w:pPr>
        <w:ind w:left="720" w:hanging="360"/>
      </w:pPr>
    </w:lvl>
    <w:lvl w:ilvl="1" w:tplc="68833565" w:tentative="1">
      <w:start w:val="1"/>
      <w:numFmt w:val="lowerLetter"/>
      <w:lvlText w:val="%2."/>
      <w:lvlJc w:val="left"/>
      <w:pPr>
        <w:ind w:left="1440" w:hanging="360"/>
      </w:pPr>
    </w:lvl>
    <w:lvl w:ilvl="2" w:tplc="68833565" w:tentative="1">
      <w:start w:val="1"/>
      <w:numFmt w:val="lowerRoman"/>
      <w:lvlText w:val="%3."/>
      <w:lvlJc w:val="right"/>
      <w:pPr>
        <w:ind w:left="2160" w:hanging="180"/>
      </w:pPr>
    </w:lvl>
    <w:lvl w:ilvl="3" w:tplc="68833565" w:tentative="1">
      <w:start w:val="1"/>
      <w:numFmt w:val="decimal"/>
      <w:lvlText w:val="%4."/>
      <w:lvlJc w:val="left"/>
      <w:pPr>
        <w:ind w:left="2880" w:hanging="360"/>
      </w:pPr>
    </w:lvl>
    <w:lvl w:ilvl="4" w:tplc="68833565" w:tentative="1">
      <w:start w:val="1"/>
      <w:numFmt w:val="lowerLetter"/>
      <w:lvlText w:val="%5."/>
      <w:lvlJc w:val="left"/>
      <w:pPr>
        <w:ind w:left="3600" w:hanging="360"/>
      </w:pPr>
    </w:lvl>
    <w:lvl w:ilvl="5" w:tplc="68833565" w:tentative="1">
      <w:start w:val="1"/>
      <w:numFmt w:val="lowerRoman"/>
      <w:lvlText w:val="%6."/>
      <w:lvlJc w:val="right"/>
      <w:pPr>
        <w:ind w:left="4320" w:hanging="180"/>
      </w:pPr>
    </w:lvl>
    <w:lvl w:ilvl="6" w:tplc="68833565" w:tentative="1">
      <w:start w:val="1"/>
      <w:numFmt w:val="decimal"/>
      <w:lvlText w:val="%7."/>
      <w:lvlJc w:val="left"/>
      <w:pPr>
        <w:ind w:left="5040" w:hanging="360"/>
      </w:pPr>
    </w:lvl>
    <w:lvl w:ilvl="7" w:tplc="68833565" w:tentative="1">
      <w:start w:val="1"/>
      <w:numFmt w:val="lowerLetter"/>
      <w:lvlText w:val="%8."/>
      <w:lvlJc w:val="left"/>
      <w:pPr>
        <w:ind w:left="5760" w:hanging="360"/>
      </w:pPr>
    </w:lvl>
    <w:lvl w:ilvl="8" w:tplc="68833565" w:tentative="1">
      <w:start w:val="1"/>
      <w:numFmt w:val="lowerRoman"/>
      <w:lvlText w:val="%9."/>
      <w:lvlJc w:val="right"/>
      <w:pPr>
        <w:ind w:left="6480" w:hanging="180"/>
      </w:pPr>
    </w:lvl>
  </w:abstractNum>
  <w:abstractNum w:abstractNumId="19655">
    <w:multiLevelType w:val="hybridMultilevel"/>
    <w:lvl w:ilvl="0" w:tplc="383794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19655">
    <w:abstractNumId w:val="19655"/>
  </w:num>
  <w:num w:numId="19656">
    <w:abstractNumId w:val="19656"/>
  </w:num>
  <w:num w:numId="19657">
    <w:abstractNumId w:val="19657"/>
  </w:num>
  <w:num w:numId="19658">
    <w:abstractNumId w:val="1965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237252739" Type="http://schemas.openxmlformats.org/officeDocument/2006/relationships/comments" Target="comments.xml"/><Relationship Id="rId716770914" Type="http://schemas.microsoft.com/office/2011/relationships/commentsExtended" Target="commentsExtended.xml"/><Relationship Id="rId87235539" Type="http://schemas.openxmlformats.org/officeDocument/2006/relationships/image" Target="media/imgrId87235539.jpg"/><Relationship Id="rId69796a3420f7e4d85" Type="http://schemas.openxmlformats.org/officeDocument/2006/relationships/image" Target="media/imgrId69796a3420f7e4d85.png"/><Relationship Id="rId52856a3420f807a10" Type="http://schemas.openxmlformats.org/officeDocument/2006/relationships/image" Target="media/imgrId52856a3420f807a10.png"/><Relationship Id="rId75876a3420f80ea9f" Type="http://schemas.openxmlformats.org/officeDocument/2006/relationships/image" Target="media/imgrId75876a3420f80ea9f.jpg"/><Relationship Id="rId44456a3420f8149a2" Type="http://schemas.openxmlformats.org/officeDocument/2006/relationships/image" Target="media/imgrId44456a3420f8149a2.jpg"/><Relationship Id="rId67996a3420f81fc14" Type="http://schemas.openxmlformats.org/officeDocument/2006/relationships/image" Target="media/imgrId67996a3420f81fc14.jpg"/><Relationship Id="rId97726a3420f826254" Type="http://schemas.openxmlformats.org/officeDocument/2006/relationships/image" Target="media/imgrId97726a3420f826254.jpg"/><Relationship Id="rId43506a3420f82e592" Type="http://schemas.openxmlformats.org/officeDocument/2006/relationships/image" Target="media/imgrId43506a3420f82e592.jpg"/><Relationship Id="rId38286a3420f839399" Type="http://schemas.openxmlformats.org/officeDocument/2006/relationships/image" Target="media/imgrId38286a3420f839399.png"/><Relationship Id="rId81476a3420f8407e0" Type="http://schemas.openxmlformats.org/officeDocument/2006/relationships/image" Target="media/imgrId81476a3420f8407e0.png"/><Relationship Id="rId39056a3420f8490a9" Type="http://schemas.openxmlformats.org/officeDocument/2006/relationships/image" Target="media/imgrId39056a3420f8490a9.jpg"/><Relationship Id="rId71876a3420f8528c7" Type="http://schemas.openxmlformats.org/officeDocument/2006/relationships/image" Target="media/imgrId71876a3420f8528c7.jpg"/><Relationship Id="rId42576a3420f85b530" Type="http://schemas.openxmlformats.org/officeDocument/2006/relationships/image" Target="media/imgrId42576a3420f85b530.png"/><Relationship Id="rId89976a3420f86c5e8" Type="http://schemas.openxmlformats.org/officeDocument/2006/relationships/image" Target="media/imgrId89976a3420f86c5e8.jpg"/><Relationship Id="rId48276a3420f871317" Type="http://schemas.openxmlformats.org/officeDocument/2006/relationships/image" Target="media/imgrId48276a3420f871317.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87235539" Type="http://schemas.openxmlformats.org/officeDocument/2006/relationships/image" Target="media/imgrId87235539.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87235539" Type="http://schemas.openxmlformats.org/officeDocument/2006/relationships/image" Target="media/imgrId87235539.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87235539" Type="http://schemas.openxmlformats.org/officeDocument/2006/relationships/image" Target="media/imgrId87235539.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87235539" Type="http://schemas.openxmlformats.org/officeDocument/2006/relationships/image" Target="media/imgrId87235539.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87235539" Type="http://schemas.openxmlformats.org/officeDocument/2006/relationships/image" Target="media/imgrId87235539.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87235539" Type="http://schemas.openxmlformats.org/officeDocument/2006/relationships/image" Target="media/imgrId87235539.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