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7572818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288491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808784" w:name="ctxt"/>
    <w:bookmarkEnd w:id="780878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2882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823"/>
        </w:numPr>
        <w:spacing w:before="0" w:after="0" w:line="240" w:lineRule="auto"/>
        <w:jc w:val="left"/>
        <w:rPr>
          <w:color w:val="00274C"/>
          <w:sz w:val="20"/>
          <w:szCs w:val="20"/>
        </w:rPr>
      </w:pPr>
      <w:bookmarkStart w:id="71534146" w:name="result_box"/>
      <w:bookmarkEnd w:id="71534146"/>
      <w:r>
        <w:rPr>
          <w:color w:val="00274C"/>
          <w:sz w:val="20"/>
          <w:szCs w:val="20"/>
          <w:u w:val="none"/>
        </w:rPr>
        <w:t xml:space="preserve">The information,</w:t>
      </w:r>
      <w:r>
        <w:rPr>
          <w:color w:val="00274C"/>
          <w:sz w:val="20"/>
          <w:szCs w:val="20"/>
          <w:u w:val="none"/>
        </w:rPr>
        <w:t xml:space="preserve"> </w:t>
      </w:r>
      <w:r>
        <w:rPr>
          <w:color w:val="00274C"/>
          <w:sz w:val="20"/>
          <w:szCs w:val="20"/>
          <w:u w:val="none"/>
        </w:rPr>
        <w:t xml:space="preserve">descriptions and illustrations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74536a6713a422016" w:history="1">
        <w:r>
          <w:rPr>
            <w:rStyle w:val="DefaultParagraphFontPHPDOCX"/>
            <w:b/>
            <w:bCs/>
            <w:color w:val="0000FF"/>
            <w:sz w:val="20"/>
            <w:szCs w:val="20"/>
            <w:u w:val="none"/>
          </w:rPr>
          <w:t xml:space="preserve">Par. 1.3</w:t>
        </w:r>
      </w:hyperlink>
      <w:r>
        <w:rPr>
          <w:color w:val="00274C"/>
          <w:sz w:val="20"/>
          <w:szCs w:val="20"/>
          <w:u w:val="none"/>
        </w:rPr>
        <w:t xml:space="preserve"> and </w:t>
      </w:r>
      <w:hyperlink r:id="rId64346a6713a4220eb" w:history="1">
        <w:r>
          <w:rPr>
            <w:rStyle w:val="DefaultParagraphFontPHPDOCX"/>
            <w:b/>
            <w:bCs/>
            <w:color w:val="0000FF"/>
            <w:sz w:val="20"/>
            <w:szCs w:val="20"/>
            <w:u w:val="none"/>
          </w:rPr>
          <w:t xml:space="preserve">Par. 1.4</w:t>
        </w:r>
      </w:hyperlink>
      <w:r>
        <w:rPr>
          <w:color w:val="00274C"/>
          <w:sz w:val="20"/>
          <w:szCs w:val="20"/>
          <w:u w:val="none"/>
        </w:rPr>
        <w:t xml:space="preserve"> ).</w:t>
      </w:r>
    </w:p>
    <w:p>
      <w:pPr>
        <w:numPr>
          <w:ilvl w:val="0"/>
          <w:numId w:val="28823"/>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28823"/>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2882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28823"/>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16096a6713a422deb" w:history="1">
        <w:r>
          <w:rPr>
            <w:rStyle w:val="DefaultParagraphFontPHPDOCX"/>
            <w:b/>
            <w:bCs/>
            <w:color w:val="0000FF"/>
            <w:sz w:val="20"/>
            <w:szCs w:val="20"/>
            <w:u w:val="none"/>
          </w:rPr>
          <w:t xml:space="preserve">Tab. 15.1</w:t>
        </w:r>
      </w:hyperlink>
      <w:r>
        <w:rPr>
          <w:color w:val="00274C"/>
          <w:sz w:val="20"/>
          <w:szCs w:val="20"/>
          <w:u w:val="none"/>
        </w:rPr>
        <w:t xml:space="preserve"> ) that are in the manual are listed and described inside the glossary, which can be consulted in ( </w:t>
      </w:r>
      <w:hyperlink r:id="rId86686a6713a422e98"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28823"/>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28823"/>
        </w:numPr>
        <w:spacing w:before="0" w:after="0" w:line="240" w:lineRule="auto"/>
        <w:jc w:val="left"/>
        <w:rPr>
          <w:color w:val="00274C"/>
          <w:sz w:val="20"/>
          <w:szCs w:val="20"/>
        </w:rPr>
      </w:pPr>
      <w:r>
        <w:rPr>
          <w:color w:val="00274C"/>
          <w:sz w:val="20"/>
          <w:szCs w:val="20"/>
          <w:u w:val="none"/>
        </w:rPr>
        <w:t xml:space="preserve">Reference to values are indicated by letters or numbers ( </w:t>
      </w:r>
      <w:r>
        <w:rPr>
          <w:b/>
          <w:bCs/>
          <w:color w:val="00274C"/>
          <w:sz w:val="20"/>
          <w:szCs w:val="20"/>
          <w:u w:val="none"/>
        </w:rPr>
        <w:t xml:space="preserve">underlined</w:t>
      </w:r>
      <w:r>
        <w:rPr>
          <w:color w:val="00274C"/>
          <w:sz w:val="20"/>
          <w:szCs w:val="20"/>
          <w:u w:val="none"/>
        </w:rPr>
        <w:t xml:space="preserve"> ).</w:t>
      </w:r>
    </w:p>
    <w:p>
      <w:pPr>
        <w:numPr>
          <w:ilvl w:val="0"/>
          <w:numId w:val="2882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28823"/>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4916741" w:name="result_box"/>
      <w:bookmarkEnd w:id="4916741"/>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79759562" w:name="result_box"/>
      <w:bookmarkEnd w:id="79759562"/>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97985501" w:name="result_box"/>
      <w:bookmarkEnd w:id="97985501"/>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28823"/>
        </w:numPr>
        <w:spacing w:before="0" w:after="0" w:line="240" w:lineRule="auto"/>
        <w:jc w:val="left"/>
        <w:rPr>
          <w:color w:val="00274C"/>
          <w:sz w:val="20"/>
          <w:szCs w:val="20"/>
        </w:rPr>
      </w:pPr>
      <w:bookmarkStart w:id="16893991" w:name="result_box"/>
      <w:bookmarkEnd w:id="16893991"/>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engine</w:t>
      </w:r>
      <w:r>
        <w:rPr>
          <w:color w:val="00274C"/>
          <w:sz w:val="20"/>
          <w:szCs w:val="20"/>
          <w:u w:val="none"/>
        </w:rPr>
        <w:t xml:space="preserve"> , </w:t>
      </w:r>
      <w:r>
        <w:rPr>
          <w:color w:val="00274C"/>
          <w:sz w:val="20"/>
          <w:szCs w:val="20"/>
          <w:u w:val="none"/>
        </w:rPr>
        <w:t xml:space="preserve">you should read</w:t>
      </w:r>
      <w:r>
        <w:rPr>
          <w:color w:val="00274C"/>
          <w:sz w:val="20"/>
          <w:szCs w:val="20"/>
          <w:u w:val="none"/>
        </w:rPr>
        <w:t xml:space="preserve"> </w:t>
      </w:r>
      <w:hyperlink r:id="rId63696a6713a423cab" w:history="1">
        <w:r>
          <w:rPr>
            <w:rStyle w:val="DefaultParagraphFontPHPDOCX"/>
            <w:b/>
            <w:bCs/>
            <w:color w:val="0000FF"/>
            <w:sz w:val="20"/>
            <w:szCs w:val="20"/>
            <w:u w:val="none"/>
          </w:rPr>
          <w:t xml:space="preserve">Chap.</w:t>
        </w:r>
      </w:hyperlink>
      <w:r>
        <w:rPr>
          <w:color w:val="00274C"/>
          <w:sz w:val="20"/>
          <w:szCs w:val="20"/>
          <w:u w:val="none"/>
        </w:rPr>
        <w:t xml:space="preserve"> </w:t>
      </w:r>
      <w:bookmarkStart w:id="67464396" w:name="result_box"/>
      <w:bookmarkEnd w:id="67464396"/>
      <w:hyperlink r:id="rId10896a6713a423d81" w:history="1">
        <w:r>
          <w:rPr>
            <w:rStyle w:val="DefaultParagraphFontPHPDOCX"/>
            <w:b/>
            <w:bCs/>
            <w:color w:val="0000FF"/>
            <w:sz w:val="20"/>
            <w:szCs w:val="20"/>
            <w:u w:val="none"/>
          </w:rPr>
          <w:t xml:space="preserve">3</w:t>
        </w:r>
      </w:hyperlink>
      <w:r>
        <w:rPr>
          <w:color w:val="00274C"/>
          <w:sz w:val="20"/>
          <w:szCs w:val="20"/>
          <w:u w:val="none"/>
        </w:rPr>
        <w:t xml:space="preserve"> in its entirity,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regarding procedures</w:t>
      </w:r>
      <w:r>
        <w:rPr>
          <w:color w:val="00274C"/>
          <w:sz w:val="20"/>
          <w:szCs w:val="20"/>
          <w:u w:val="none"/>
        </w:rPr>
        <w:t xml:space="preserve"> </w:t>
      </w:r>
      <w:r>
        <w:rPr>
          <w:color w:val="00274C"/>
          <w:sz w:val="20"/>
          <w:szCs w:val="20"/>
          <w:u w:val="none"/>
        </w:rPr>
        <w:t xml:space="preserve">to follow with regard to </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the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2239200" cy="2736000"/>
            <wp:effectExtent b="0" l="0" r="0" t="0"/>
            <wp:docPr id="99854883" name="name59146a6713a46893e" descr="Fig.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1.jpg"/>
                    <pic:cNvPicPr/>
                  </pic:nvPicPr>
                  <pic:blipFill>
                    <a:blip r:embed="rId85976a6713a468939" cstate="print"/>
                    <a:stretch>
                      <a:fillRect/>
                    </a:stretch>
                  </pic:blipFill>
                  <pic:spPr>
                    <a:xfrm>
                      <a:off x="0" y="0"/>
                      <a:ext cx="2239200" cy="2736000"/>
                    </a:xfrm>
                    <a:prstGeom prst="rect">
                      <a:avLst/>
                    </a:prstGeom>
                    <a:ln w="0">
                      <a:noFill/>
                    </a:ln>
                  </pic:spPr>
                </pic:pic>
              </a:graphicData>
            </a:graphic>
          </wp:inline>
        </w:drawing>
      </w:r>
      <w:r>
        <w:rPr>
          <w:color w:val="00274C"/>
          <w:sz w:val="20"/>
          <w:szCs w:val="20"/>
          <w:u w:val="none"/>
        </w:rPr>
        <w:br/>
        <w:t xml:space="preserve">     </w:t>
      </w:r>
      <w:r>
        <w:drawing>
          <wp:inline distT="0" distB="0" distL="0" distR="0">
            <wp:extent cx="2239200" cy="2743200"/>
            <wp:effectExtent b="0" l="0" r="0" t="0"/>
            <wp:docPr id="76125046" name="name24406a6713a4e2188" descr="Fig.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jpg"/>
                    <pic:cNvPicPr/>
                  </pic:nvPicPr>
                  <pic:blipFill>
                    <a:blip r:embed="rId55276a6713a4e2183" cstate="print"/>
                    <a:stretch>
                      <a:fillRect/>
                    </a:stretch>
                  </pic:blipFill>
                  <pic:spPr>
                    <a:xfrm>
                      <a:off x="0" y="0"/>
                      <a:ext cx="2239200" cy="27432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1.1 -</w:t>
      </w:r>
      <w:r>
        <w:rPr>
          <w:color w:val="00274C"/>
          <w:sz w:val="20"/>
          <w:szCs w:val="20"/>
          <w:u w:val="none"/>
        </w:rPr>
        <w:t xml:space="preserve">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r>
        <w:drawing>
          <wp:inline distT="0" distB="0" distL="0" distR="0">
            <wp:extent cx="4824000" cy="1807200"/>
            <wp:effectExtent b="0" l="0" r="0" t="0"/>
            <wp:docPr id="78063219" name="name66726a6713a50bf28" descr="Fig._1.3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3_EN.jpg"/>
                    <pic:cNvPicPr/>
                  </pic:nvPicPr>
                  <pic:blipFill>
                    <a:blip r:embed="rId26766a6713a50bf24" cstate="print"/>
                    <a:stretch>
                      <a:fillRect/>
                    </a:stretch>
                  </pic:blipFill>
                  <pic:spPr>
                    <a:xfrm>
                      <a:off x="0" y="0"/>
                      <a:ext cx="4824000" cy="1807200"/>
                    </a:xfrm>
                    <a:prstGeom prst="rect">
                      <a:avLst/>
                    </a:prstGeom>
                    <a:ln w="0">
                      <a:noFill/>
                    </a:ln>
                  </pic:spPr>
                </pic:pic>
              </a:graphicData>
            </a:graphic>
          </wp:inline>
        </w:drawing>
      </w:r>
      <w:r>
        <w:rPr>
          <w:b/>
          <w:bCs/>
          <w:color w:val="00274C"/>
          <w:sz w:val="20"/>
          <w:szCs w:val="20"/>
          <w:u w:val="none"/>
        </w:rPr>
        <w:br/>
        <w:t xml:space="preserve">Fig 1.3</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VIEW OF EXHAUST SIDE</w:t>
      </w:r>
    </w:p>
    <w:p>
      <w:pPr>
        <w:widowControl w:val="on"/>
        <w:pBdr/>
        <w:spacing w:before="225" w:after="225" w:line="262" w:lineRule="auto"/>
        <w:ind w:left="0" w:right="0"/>
        <w:jc w:val="left"/>
      </w:pPr>
      <w:r>
        <w:drawing>
          <wp:inline distT="0" distB="0" distL="0" distR="0">
            <wp:extent cx="4824000" cy="3124800"/>
            <wp:effectExtent b="0" l="0" r="0" t="0"/>
            <wp:docPr id="30183008" name="name74466a6713a520317" descr="Fig.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4.jpg"/>
                    <pic:cNvPicPr/>
                  </pic:nvPicPr>
                  <pic:blipFill>
                    <a:blip r:embed="rId43196a6713a520312" cstate="print"/>
                    <a:stretch>
                      <a:fillRect/>
                    </a:stretch>
                  </pic:blipFill>
                  <pic:spPr>
                    <a:xfrm>
                      <a:off x="0" y="0"/>
                      <a:ext cx="4824000" cy="3124800"/>
                    </a:xfrm>
                    <a:prstGeom prst="rect">
                      <a:avLst/>
                    </a:prstGeom>
                    <a:ln w="0">
                      <a:noFill/>
                    </a:ln>
                  </pic:spPr>
                </pic:pic>
              </a:graphicData>
            </a:graphic>
          </wp:inline>
        </w:drawing>
      </w:r>
      <w:r>
        <w:rPr>
          <w:color w:val="00274C"/>
          <w:sz w:val="20"/>
          <w:szCs w:val="20"/>
          <w:u w:val="none"/>
        </w:rPr>
        <w:t xml:space="preserve">  </w:t>
      </w:r>
      <w:r>
        <w:rPr>
          <w:b/>
          <w:bCs/>
          <w:color w:val="00274C"/>
          <w:sz w:val="20"/>
          <w:szCs w:val="20"/>
          <w:u w:val="none"/>
        </w:rPr>
        <w:br/>
        <w:t xml:space="preserve">Fig 1.4</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it is advisable to keep 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65597178" name="name33966a6713a52b0d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1486a6713a52b0d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22353274" name="name17266a6713a53188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56266a6713a53188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73822619" name="name60206a6713a53922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1716a6713a539222"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67677241" name="name52976a6713a540d5d"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2506a6713a540d5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drawing>
          <wp:inline distT="0" distB="0" distL="0" distR="0">
            <wp:extent cx="4824000" cy="3297600"/>
            <wp:effectExtent b="0" l="0" r="0" t="0"/>
            <wp:docPr id="84679537" name="name19976a6713a54f331" descr="Fig.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5.jpg"/>
                    <pic:cNvPicPr/>
                  </pic:nvPicPr>
                  <pic:blipFill>
                    <a:blip r:embed="rId13426a6713a54f32c"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TIMING SYSTEM SIDE</w:t>
      </w:r>
      <w:r>
        <w:drawing>
          <wp:inline distT="0" distB="0" distL="0" distR="0">
            <wp:extent cx="4824000" cy="3297600"/>
            <wp:effectExtent b="0" l="0" r="0" t="0"/>
            <wp:docPr id="67980386" name="name32386a6713a564cf7" descr="Fig.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6.jpg"/>
                    <pic:cNvPicPr/>
                  </pic:nvPicPr>
                  <pic:blipFill>
                    <a:blip r:embed="rId25136a6713a564cf2" cstate="print"/>
                    <a:stretch>
                      <a:fillRect/>
                    </a:stretch>
                  </pic:blipFill>
                  <pic:spPr>
                    <a:xfrm>
                      <a:off x="0" y="0"/>
                      <a:ext cx="4824000" cy="32976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external components of the engine (BASE CONFIGURATION)</w:t>
      </w:r>
    </w:p>
    <w:p>
      <w:pPr>
        <w:widowControl w:val="on"/>
        <w:pBdr/>
        <w:spacing w:before="0" w:after="0" w:line="262" w:lineRule="auto"/>
        <w:ind w:left="0" w:right="0"/>
        <w:jc w:val="left"/>
      </w:pPr>
      <w:r>
        <w:rPr>
          <w:b/>
          <w:bCs/>
          <w:color w:val="00274C"/>
          <w:sz w:val="20"/>
          <w:szCs w:val="20"/>
          <w:u w:val="none"/>
        </w:rPr>
        <w:t xml:space="preserve">VIEW OF TIMING SYSTEM SIDE - EXHAUST</w:t>
      </w:r>
    </w:p>
    <w:p>
      <w:pPr>
        <w:widowControl w:val="on"/>
        <w:pBdr/>
        <w:spacing w:before="225" w:after="225" w:line="262" w:lineRule="auto"/>
        <w:ind w:left="0" w:right="0"/>
        <w:jc w:val="left"/>
      </w:pPr>
      <w:r>
        <w:drawing>
          <wp:inline distT="0" distB="0" distL="0" distR="0">
            <wp:extent cx="4824000" cy="3132000"/>
            <wp:effectExtent b="0" l="0" r="0" t="0"/>
            <wp:docPr id="77387723" name="name79356a6713a571349" descr="Fig.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7.jpg"/>
                    <pic:cNvPicPr/>
                  </pic:nvPicPr>
                  <pic:blipFill>
                    <a:blip r:embed="rId25006a6713a571345" cstate="print"/>
                    <a:stretch>
                      <a:fillRect/>
                    </a:stretch>
                  </pic:blipFill>
                  <pic:spPr>
                    <a:xfrm>
                      <a:off x="0" y="0"/>
                      <a:ext cx="4824000" cy="3132000"/>
                    </a:xfrm>
                    <a:prstGeom prst="rect">
                      <a:avLst/>
                    </a:prstGeom>
                    <a:ln w="0">
                      <a:noFill/>
                    </a:ln>
                  </pic:spPr>
                </pic:pic>
              </a:graphicData>
            </a:graphic>
          </wp:inline>
        </w:drawing>
      </w:r>
    </w:p>
    <w:p>
      <w:pPr>
        <w:widowControl w:val="on"/>
        <w:pBdr/>
        <w:spacing w:before="225" w:after="225" w:line="262" w:lineRule="auto"/>
        <w:ind w:left="0" w:right="0"/>
        <w:jc w:val="left"/>
      </w:pPr>
      <w:r>
        <w:rPr>
          <w:color w:val="00274C"/>
          <w:sz w:val="20"/>
          <w:szCs w:val="20"/>
          <w:u w:val="none"/>
        </w:rPr>
        <w:t xml:space="preserve">  </w:t>
      </w:r>
      <w:r>
        <w:rPr>
          <w:b/>
          <w:bCs/>
          <w:color w:val="00274C"/>
          <w:sz w:val="20"/>
          <w:szCs w:val="20"/>
          <w:u w:val="none"/>
        </w:rPr>
        <w:t xml:space="preserve">Fig 1.7</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VIEW OF FLYWHEEL SIDE</w:t>
      </w:r>
      <w:r>
        <w:rPr>
          <w:color w:val="00274C"/>
          <w:sz w:val="20"/>
          <w:szCs w:val="20"/>
          <w:u w:val="none"/>
        </w:rPr>
        <w:br/>
        <w:t xml:space="preserve">  </w:t>
      </w:r>
      <w:r>
        <w:drawing>
          <wp:inline distT="0" distB="0" distL="0" distR="0">
            <wp:extent cx="4780800" cy="3268800"/>
            <wp:effectExtent b="0" l="0" r="0" t="0"/>
            <wp:docPr id="21152883" name="name89716a6713a5b1b10" descr="Fig._1.8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8_M.jpg"/>
                    <pic:cNvPicPr/>
                  </pic:nvPicPr>
                  <pic:blipFill>
                    <a:blip r:embed="rId56106a6713a5b1b0c" cstate="print"/>
                    <a:stretch>
                      <a:fillRect/>
                    </a:stretch>
                  </pic:blipFill>
                  <pic:spPr>
                    <a:xfrm>
                      <a:off x="0" y="0"/>
                      <a:ext cx="4780800" cy="3268800"/>
                    </a:xfrm>
                    <a:prstGeom prst="rect">
                      <a:avLst/>
                    </a:prstGeom>
                    <a:ln w="0">
                      <a:noFill/>
                    </a:ln>
                  </pic:spPr>
                </pic:pic>
              </a:graphicData>
            </a:graphic>
          </wp:inline>
        </w:drawing>
      </w:r>
      <w:r>
        <w:rPr>
          <w:b/>
          <w:bCs/>
          <w:color w:val="00274C"/>
          <w:sz w:val="20"/>
          <w:szCs w:val="20"/>
          <w:u w:val="none"/>
        </w:rPr>
        <w:br/>
        <w:t xml:space="preserve">Fig 1.8</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This paragraph illustrates all external components that are present in the base configuration of the engine.</w:t>
            </w:r>
            <w:r>
              <w:rPr>
                <w:color w:val="00274C"/>
                <w:position w:val="-2"/>
                <w:sz w:val="20"/>
                <w:szCs w:val="20"/>
                <w:u w:val="none"/>
              </w:rPr>
              <w:br/>
              <w:t xml:space="preserve">For components present on engines that differ from those represented in these illustrations, refer to </w:t>
            </w:r>
            <w:hyperlink r:id="rId30586a6713a5b1f90" w:history="1">
              <w:r>
                <w:rPr>
                  <w:rStyle w:val="DefaultParagraphFontPHPDOCX"/>
                  <w:b/>
                  <w:bCs/>
                  <w:color w:val="0000FF"/>
                  <w:position w:val="-2"/>
                  <w:sz w:val="20"/>
                  <w:szCs w:val="20"/>
                  <w:u w:val="single" w:color=""/>
                </w:rPr>
                <w:t xml:space="preserve">Chap.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NOTE:</w:t>
            </w:r>
            <w:r>
              <w:rPr>
                <w:color w:val="00274C"/>
                <w:position w:val="0"/>
                <w:sz w:val="20"/>
                <w:szCs w:val="20"/>
                <w:u w:val="none"/>
              </w:rPr>
              <w:t xml:space="preserve"> The illustrated components may differ from those illustrated; the illustration is only as an example.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identification name plate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Flange bell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Injectors</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UPPER VIEW</w:t>
      </w:r>
      <w:r>
        <w:rPr>
          <w:color w:val="00274C"/>
          <w:sz w:val="20"/>
          <w:szCs w:val="20"/>
          <w:u w:val="none"/>
        </w:rPr>
        <w:br/>
        <w:t xml:space="preserve">  </w:t>
      </w:r>
      <w:r>
        <w:drawing>
          <wp:inline distT="0" distB="0" distL="0" distR="0">
            <wp:extent cx="4881600" cy="3261600"/>
            <wp:effectExtent b="0" l="0" r="0" t="0"/>
            <wp:docPr id="64621940" name="name32796a6713a6102c5" descr="Fig._1.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9_M.jpg"/>
                    <pic:cNvPicPr/>
                  </pic:nvPicPr>
                  <pic:blipFill>
                    <a:blip r:embed="rId24856a6713a6102c0" cstate="print"/>
                    <a:stretch>
                      <a:fillRect/>
                    </a:stretch>
                  </pic:blipFill>
                  <pic:spPr>
                    <a:xfrm>
                      <a:off x="0" y="0"/>
                      <a:ext cx="4881600" cy="3261600"/>
                    </a:xfrm>
                    <a:prstGeom prst="rect">
                      <a:avLst/>
                    </a:prstGeom>
                    <a:ln w="0">
                      <a:noFill/>
                    </a:ln>
                  </pic:spPr>
                </pic:pic>
              </a:graphicData>
            </a:graphic>
          </wp:inline>
        </w:drawing>
      </w:r>
      <w:r>
        <w:rPr>
          <w:b/>
          <w:bCs/>
          <w:color w:val="00274C"/>
          <w:sz w:val="20"/>
          <w:szCs w:val="20"/>
          <w:u w:val="none"/>
        </w:rPr>
        <w:br/>
        <w:t xml:space="preserve">Fig 1.9</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824">
    <w:multiLevelType w:val="hybridMultilevel"/>
    <w:lvl w:ilvl="0" w:tplc="88918959">
      <w:start w:val="1"/>
      <w:numFmt w:val="decimal"/>
      <w:lvlText w:val="%1."/>
      <w:lvlJc w:val="left"/>
      <w:pPr>
        <w:ind w:left="720" w:hanging="360"/>
      </w:pPr>
    </w:lvl>
    <w:lvl w:ilvl="1" w:tplc="88918959" w:tentative="1">
      <w:start w:val="1"/>
      <w:numFmt w:val="lowerLetter"/>
      <w:lvlText w:val="%2."/>
      <w:lvlJc w:val="left"/>
      <w:pPr>
        <w:ind w:left="1440" w:hanging="360"/>
      </w:pPr>
    </w:lvl>
    <w:lvl w:ilvl="2" w:tplc="88918959" w:tentative="1">
      <w:start w:val="1"/>
      <w:numFmt w:val="lowerRoman"/>
      <w:lvlText w:val="%3."/>
      <w:lvlJc w:val="right"/>
      <w:pPr>
        <w:ind w:left="2160" w:hanging="180"/>
      </w:pPr>
    </w:lvl>
    <w:lvl w:ilvl="3" w:tplc="88918959" w:tentative="1">
      <w:start w:val="1"/>
      <w:numFmt w:val="decimal"/>
      <w:lvlText w:val="%4."/>
      <w:lvlJc w:val="left"/>
      <w:pPr>
        <w:ind w:left="2880" w:hanging="360"/>
      </w:pPr>
    </w:lvl>
    <w:lvl w:ilvl="4" w:tplc="88918959" w:tentative="1">
      <w:start w:val="1"/>
      <w:numFmt w:val="lowerLetter"/>
      <w:lvlText w:val="%5."/>
      <w:lvlJc w:val="left"/>
      <w:pPr>
        <w:ind w:left="3600" w:hanging="360"/>
      </w:pPr>
    </w:lvl>
    <w:lvl w:ilvl="5" w:tplc="88918959" w:tentative="1">
      <w:start w:val="1"/>
      <w:numFmt w:val="lowerRoman"/>
      <w:lvlText w:val="%6."/>
      <w:lvlJc w:val="right"/>
      <w:pPr>
        <w:ind w:left="4320" w:hanging="180"/>
      </w:pPr>
    </w:lvl>
    <w:lvl w:ilvl="6" w:tplc="88918959" w:tentative="1">
      <w:start w:val="1"/>
      <w:numFmt w:val="decimal"/>
      <w:lvlText w:val="%7."/>
      <w:lvlJc w:val="left"/>
      <w:pPr>
        <w:ind w:left="5040" w:hanging="360"/>
      </w:pPr>
    </w:lvl>
    <w:lvl w:ilvl="7" w:tplc="88918959" w:tentative="1">
      <w:start w:val="1"/>
      <w:numFmt w:val="lowerLetter"/>
      <w:lvlText w:val="%8."/>
      <w:lvlJc w:val="left"/>
      <w:pPr>
        <w:ind w:left="5760" w:hanging="360"/>
      </w:pPr>
    </w:lvl>
    <w:lvl w:ilvl="8" w:tplc="88918959" w:tentative="1">
      <w:start w:val="1"/>
      <w:numFmt w:val="lowerRoman"/>
      <w:lvlText w:val="%9."/>
      <w:lvlJc w:val="right"/>
      <w:pPr>
        <w:ind w:left="6480" w:hanging="180"/>
      </w:pPr>
    </w:lvl>
  </w:abstractNum>
  <w:abstractNum w:abstractNumId="28823">
    <w:multiLevelType w:val="hybridMultilevel"/>
    <w:lvl w:ilvl="0" w:tplc="13655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823">
    <w:abstractNumId w:val="28823"/>
  </w:num>
  <w:num w:numId="28824">
    <w:abstractNumId w:val="28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9743890" Type="http://schemas.openxmlformats.org/officeDocument/2006/relationships/comments" Target="comments.xml"/><Relationship Id="rId746433868" Type="http://schemas.microsoft.com/office/2011/relationships/commentsExtended" Target="commentsExtended.xml"/><Relationship Id="rId12884913" Type="http://schemas.openxmlformats.org/officeDocument/2006/relationships/image" Target="media/imgrId12884913.jpg"/><Relationship Id="rId74536a6713a422016" Type="http://schemas.openxmlformats.org/officeDocument/2006/relationships/hyperlink" Target="https://iservice.lombardini.it/jsp/Template2/manuale.jsp?id=259&amp;parent=1136" TargetMode="External"/><Relationship Id="rId64346a6713a4220eb" Type="http://schemas.openxmlformats.org/officeDocument/2006/relationships/hyperlink" Target="https://iservice.lombardini.it/jsp/Template2/manuale.jsp?id=260&amp;parent=1136" TargetMode="External"/><Relationship Id="rId16096a6713a422deb" Type="http://schemas.openxmlformats.org/officeDocument/2006/relationships/hyperlink" Target="https://iservice.lombardini.it/jsp/Template2/manuale.jsp?id=335&amp;parent=1136" TargetMode="External"/><Relationship Id="rId86686a6713a422e98" Type="http://schemas.openxmlformats.org/officeDocument/2006/relationships/hyperlink" Target="https://iservice.lombardini.it/jsp/Template2/manuale.jsp?id=335&amp;parent=1136" TargetMode="External"/><Relationship Id="rId63696a6713a423cab" Type="http://schemas.openxmlformats.org/officeDocument/2006/relationships/hyperlink" Target="https://iservice.lombardini.it/jsp/Template2/manuale.jsp?id=282&amp;parent=1136" TargetMode="External"/><Relationship Id="rId10896a6713a423d81" Type="http://schemas.openxmlformats.org/officeDocument/2006/relationships/hyperlink" Target="https://iservice.lombardini.it/jsp/Template2/manuale.jsp?id=282&amp;parent=1136" TargetMode="External"/><Relationship Id="rId30586a6713a5b1f90" Type="http://schemas.openxmlformats.org/officeDocument/2006/relationships/hyperlink" Target="https://iservice.lombardini.it/jsp/Template2/manuale.jsp?id=341&amp;parent=1136" TargetMode="External"/><Relationship Id="rId85976a6713a468939" Type="http://schemas.openxmlformats.org/officeDocument/2006/relationships/image" Target="media/imgrId85976a6713a468939.jpg"/><Relationship Id="rId55276a6713a4e2183" Type="http://schemas.openxmlformats.org/officeDocument/2006/relationships/image" Target="media/imgrId55276a6713a4e2183.jpg"/><Relationship Id="rId26766a6713a50bf24" Type="http://schemas.openxmlformats.org/officeDocument/2006/relationships/image" Target="media/imgrId26766a6713a50bf24.jpg"/><Relationship Id="rId43196a6713a520312" Type="http://schemas.openxmlformats.org/officeDocument/2006/relationships/image" Target="media/imgrId43196a6713a520312.jpg"/><Relationship Id="rId31486a6713a52b0d4" Type="http://schemas.openxmlformats.org/officeDocument/2006/relationships/image" Target="media/imgrId31486a6713a52b0d4.gif"/><Relationship Id="rId56266a6713a531885" Type="http://schemas.openxmlformats.org/officeDocument/2006/relationships/image" Target="media/imgrId56266a6713a531885.gif"/><Relationship Id="rId81716a6713a539222" Type="http://schemas.openxmlformats.org/officeDocument/2006/relationships/image" Target="media/imgrId81716a6713a539222.gif"/><Relationship Id="rId82506a6713a540d5a" Type="http://schemas.openxmlformats.org/officeDocument/2006/relationships/image" Target="media/imgrId82506a6713a540d5a.gif"/><Relationship Id="rId13426a6713a54f32c" Type="http://schemas.openxmlformats.org/officeDocument/2006/relationships/image" Target="media/imgrId13426a6713a54f32c.jpg"/><Relationship Id="rId25136a6713a564cf2" Type="http://schemas.openxmlformats.org/officeDocument/2006/relationships/image" Target="media/imgrId25136a6713a564cf2.jpg"/><Relationship Id="rId25006a6713a571345" Type="http://schemas.openxmlformats.org/officeDocument/2006/relationships/image" Target="media/imgrId25006a6713a571345.jpg"/><Relationship Id="rId56106a6713a5b1b0c" Type="http://schemas.openxmlformats.org/officeDocument/2006/relationships/image" Target="media/imgrId56106a6713a5b1b0c.jpg"/><Relationship Id="rId24856a6713a6102c0" Type="http://schemas.openxmlformats.org/officeDocument/2006/relationships/image" Target="media/imgrId24856a6713a6102c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2884913" Type="http://schemas.openxmlformats.org/officeDocument/2006/relationships/image" Target="media/imgrId128849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