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 M Workshop manual (Rev. 09.6)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5374334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48223164"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ED005302-960</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9.6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03/2023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V. MANINI</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8904122" w:name="ctxt"/>
    <w:bookmarkEnd w:id="88904122"/>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26896"/>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6896"/>
        </w:numPr>
        <w:spacing w:before="0" w:after="0" w:line="240" w:lineRule="auto"/>
        <w:jc w:val="left"/>
        <w:rPr>
          <w:color w:val="00274C"/>
          <w:sz w:val="20"/>
          <w:szCs w:val="20"/>
        </w:rPr>
      </w:pPr>
      <w:bookmarkStart w:id="92006778" w:name="result_box"/>
      <w:bookmarkEnd w:id="92006778"/>
      <w:r>
        <w:rPr>
          <w:color w:val="00274C"/>
          <w:sz w:val="20"/>
          <w:szCs w:val="20"/>
          <w:u w:val="none"/>
        </w:rPr>
        <w:t xml:space="preserve">The information,</w:t>
      </w:r>
      <w:r>
        <w:rPr>
          <w:color w:val="00274C"/>
          <w:sz w:val="20"/>
          <w:szCs w:val="20"/>
          <w:u w:val="none"/>
        </w:rPr>
        <w:t xml:space="preserve"> </w:t>
      </w:r>
      <w:r>
        <w:rPr>
          <w:color w:val="00274C"/>
          <w:sz w:val="20"/>
          <w:szCs w:val="20"/>
          <w:u w:val="none"/>
        </w:rPr>
        <w:t xml:space="preserve">descriptions and illustrations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hyperlink r:id="rId64046a69e5a4a1ff2" w:history="1">
        <w:r>
          <w:rPr>
            <w:rStyle w:val="DefaultParagraphFontPHPDOCX"/>
            <w:b/>
            <w:bCs/>
            <w:color w:val="0000FF"/>
            <w:sz w:val="20"/>
            <w:szCs w:val="20"/>
            <w:u w:val="none"/>
          </w:rPr>
          <w:t xml:space="preserve">Par. 1.3</w:t>
        </w:r>
      </w:hyperlink>
      <w:r>
        <w:rPr>
          <w:color w:val="00274C"/>
          <w:sz w:val="20"/>
          <w:szCs w:val="20"/>
          <w:u w:val="none"/>
        </w:rPr>
        <w:t xml:space="preserve"> and </w:t>
      </w:r>
      <w:hyperlink r:id="rId94156a69e5a4a20bc" w:history="1">
        <w:r>
          <w:rPr>
            <w:rStyle w:val="DefaultParagraphFontPHPDOCX"/>
            <w:b/>
            <w:bCs/>
            <w:color w:val="0000FF"/>
            <w:sz w:val="20"/>
            <w:szCs w:val="20"/>
            <w:u w:val="none"/>
          </w:rPr>
          <w:t xml:space="preserve">Par. 1.4</w:t>
        </w:r>
      </w:hyperlink>
      <w:r>
        <w:rPr>
          <w:color w:val="00274C"/>
          <w:sz w:val="20"/>
          <w:szCs w:val="20"/>
          <w:u w:val="none"/>
        </w:rPr>
        <w:t xml:space="preserve"> ).</w:t>
      </w:r>
    </w:p>
    <w:p>
      <w:pPr>
        <w:numPr>
          <w:ilvl w:val="0"/>
          <w:numId w:val="26896"/>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26896"/>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26896"/>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26896"/>
        </w:numPr>
        <w:spacing w:before="0" w:after="0" w:line="240" w:lineRule="auto"/>
        <w:jc w:val="left"/>
        <w:rPr>
          <w:color w:val="00274C"/>
          <w:sz w:val="20"/>
          <w:szCs w:val="20"/>
        </w:rPr>
      </w:pPr>
      <w:r>
        <w:rPr>
          <w:color w:val="00274C"/>
          <w:sz w:val="20"/>
          <w:szCs w:val="20"/>
          <w:u w:val="none"/>
        </w:rPr>
        <w:t xml:space="preserve">All technical terms, specific components and symbols ( </w:t>
      </w:r>
      <w:hyperlink r:id="rId94736a69e5a4a2daf" w:history="1">
        <w:r>
          <w:rPr>
            <w:rStyle w:val="DefaultParagraphFontPHPDOCX"/>
            <w:b/>
            <w:bCs/>
            <w:color w:val="0000FF"/>
            <w:sz w:val="20"/>
            <w:szCs w:val="20"/>
            <w:u w:val="none"/>
          </w:rPr>
          <w:t xml:space="preserve">Tab. 15.1</w:t>
        </w:r>
      </w:hyperlink>
      <w:r>
        <w:rPr>
          <w:color w:val="00274C"/>
          <w:sz w:val="20"/>
          <w:szCs w:val="20"/>
          <w:u w:val="none"/>
        </w:rPr>
        <w:t xml:space="preserve"> ) that are in the manual are listed and described inside the glossary, which can be consulted in ( </w:t>
      </w:r>
      <w:hyperlink r:id="rId64566a69e5a4a2e69" w:history="1">
        <w:r>
          <w:rPr>
            <w:rStyle w:val="DefaultParagraphFontPHPDOCX"/>
            <w:b/>
            <w:bCs/>
            <w:color w:val="0000FF"/>
            <w:sz w:val="20"/>
            <w:szCs w:val="20"/>
            <w:u w:val="none"/>
          </w:rPr>
          <w:t xml:space="preserve">Chap. 15</w:t>
        </w:r>
      </w:hyperlink>
      <w:r>
        <w:rPr>
          <w:color w:val="00274C"/>
          <w:sz w:val="20"/>
          <w:szCs w:val="20"/>
          <w:u w:val="none"/>
        </w:rPr>
        <w:t xml:space="preserve"> ).</w:t>
      </w:r>
    </w:p>
    <w:p>
      <w:pPr>
        <w:numPr>
          <w:ilvl w:val="0"/>
          <w:numId w:val="26896"/>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26896"/>
        </w:numPr>
        <w:spacing w:before="0" w:after="0" w:line="240" w:lineRule="auto"/>
        <w:jc w:val="left"/>
        <w:rPr>
          <w:color w:val="00274C"/>
          <w:sz w:val="20"/>
          <w:szCs w:val="20"/>
        </w:rPr>
      </w:pPr>
      <w:r>
        <w:rPr>
          <w:color w:val="00274C"/>
          <w:sz w:val="20"/>
          <w:szCs w:val="20"/>
          <w:u w:val="none"/>
        </w:rPr>
        <w:t xml:space="preserve">Reference to values are indicated by letters or numbers ( </w:t>
      </w:r>
      <w:r>
        <w:rPr>
          <w:b/>
          <w:bCs/>
          <w:color w:val="00274C"/>
          <w:sz w:val="20"/>
          <w:szCs w:val="20"/>
          <w:u w:val="none"/>
        </w:rPr>
        <w:t xml:space="preserve">underlined</w:t>
      </w:r>
      <w:r>
        <w:rPr>
          <w:color w:val="00274C"/>
          <w:sz w:val="20"/>
          <w:szCs w:val="20"/>
          <w:u w:val="none"/>
        </w:rPr>
        <w:t xml:space="preserve"> ).</w:t>
      </w:r>
    </w:p>
    <w:p>
      <w:pPr>
        <w:numPr>
          <w:ilvl w:val="0"/>
          <w:numId w:val="26896"/>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26896"/>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71003425" w:name="result_box"/>
      <w:bookmarkEnd w:id="71003425"/>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98598800" w:name="result_box"/>
      <w:bookmarkEnd w:id="98598800"/>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6977035" w:name="result_box"/>
      <w:bookmarkEnd w:id="6977035"/>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26896"/>
        </w:numPr>
        <w:spacing w:before="0" w:after="0" w:line="240" w:lineRule="auto"/>
        <w:jc w:val="left"/>
        <w:rPr>
          <w:color w:val="00274C"/>
          <w:sz w:val="20"/>
          <w:szCs w:val="20"/>
        </w:rPr>
      </w:pPr>
      <w:bookmarkStart w:id="11618923" w:name="result_box"/>
      <w:bookmarkEnd w:id="11618923"/>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engine</w:t>
      </w:r>
      <w:r>
        <w:rPr>
          <w:color w:val="00274C"/>
          <w:sz w:val="20"/>
          <w:szCs w:val="20"/>
          <w:u w:val="none"/>
        </w:rPr>
        <w:t xml:space="preserve"> , </w:t>
      </w:r>
      <w:r>
        <w:rPr>
          <w:color w:val="00274C"/>
          <w:sz w:val="20"/>
          <w:szCs w:val="20"/>
          <w:u w:val="none"/>
        </w:rPr>
        <w:t xml:space="preserve">you should read</w:t>
      </w:r>
      <w:r>
        <w:rPr>
          <w:color w:val="00274C"/>
          <w:sz w:val="20"/>
          <w:szCs w:val="20"/>
          <w:u w:val="none"/>
        </w:rPr>
        <w:t xml:space="preserve"> </w:t>
      </w:r>
      <w:hyperlink r:id="rId18726a69e5a4a3d32" w:history="1">
        <w:r>
          <w:rPr>
            <w:rStyle w:val="DefaultParagraphFontPHPDOCX"/>
            <w:b/>
            <w:bCs/>
            <w:color w:val="0000FF"/>
            <w:sz w:val="20"/>
            <w:szCs w:val="20"/>
            <w:u w:val="none"/>
          </w:rPr>
          <w:t xml:space="preserve">Chap.</w:t>
        </w:r>
      </w:hyperlink>
      <w:r>
        <w:rPr>
          <w:color w:val="00274C"/>
          <w:sz w:val="20"/>
          <w:szCs w:val="20"/>
          <w:u w:val="none"/>
        </w:rPr>
        <w:t xml:space="preserve"> </w:t>
      </w:r>
      <w:bookmarkStart w:id="61058323" w:name="result_box"/>
      <w:bookmarkEnd w:id="61058323"/>
      <w:hyperlink r:id="rId81576a69e5a4a3e1c" w:history="1">
        <w:r>
          <w:rPr>
            <w:rStyle w:val="DefaultParagraphFontPHPDOCX"/>
            <w:b/>
            <w:bCs/>
            <w:color w:val="0000FF"/>
            <w:sz w:val="20"/>
            <w:szCs w:val="20"/>
            <w:u w:val="none"/>
          </w:rPr>
          <w:t xml:space="preserve">3</w:t>
        </w:r>
      </w:hyperlink>
      <w:r>
        <w:rPr>
          <w:color w:val="00274C"/>
          <w:sz w:val="20"/>
          <w:szCs w:val="20"/>
          <w:u w:val="none"/>
        </w:rPr>
        <w:t xml:space="preserve"> in its entirity,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regarding procedures</w:t>
      </w:r>
      <w:r>
        <w:rPr>
          <w:color w:val="00274C"/>
          <w:sz w:val="20"/>
          <w:szCs w:val="20"/>
          <w:u w:val="none"/>
        </w:rPr>
        <w:t xml:space="preserve"> </w:t>
      </w:r>
      <w:r>
        <w:rPr>
          <w:color w:val="00274C"/>
          <w:sz w:val="20"/>
          <w:szCs w:val="20"/>
          <w:u w:val="none"/>
        </w:rPr>
        <w:t xml:space="preserve">to follow with regard to </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the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p>
      <w:pPr>
        <w:widowControl w:val="on"/>
        <w:pBdr/>
        <w:spacing w:before="0" w:after="0" w:line="262" w:lineRule="auto"/>
        <w:ind w:left="0" w:right="0"/>
        <w:jc w:val="left"/>
      </w:pPr>
      <w:r>
        <w:rPr>
          <w:color w:val="00274C"/>
          <w:sz w:val="20"/>
          <w:szCs w:val="20"/>
          <w:u w:val="none"/>
        </w:rPr>
        <w:t xml:space="preserve">The engine identification name plate is situated in the lower part of the crankcase; it is visible from the intake or exhaust side.</w:t>
      </w:r>
    </w:p>
    <w:p>
      <w:pPr>
        <w:widowControl w:val="on"/>
        <w:pBdr/>
        <w:spacing w:before="225" w:after="225" w:line="262" w:lineRule="auto"/>
        <w:ind w:left="0" w:right="0"/>
        <w:jc w:val="left"/>
      </w:pPr>
      <w:r>
        <w:drawing>
          <wp:inline distT="0" distB="0" distL="0" distR="0">
            <wp:extent cx="2239200" cy="2736000"/>
            <wp:effectExtent b="0" l="0" r="0" t="0"/>
            <wp:docPr id="85280921" name="name80236a69e5a4b08cc" descr="Fig.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1.jpg"/>
                    <pic:cNvPicPr/>
                  </pic:nvPicPr>
                  <pic:blipFill>
                    <a:blip r:embed="rId65466a69e5a4b08c9" cstate="print"/>
                    <a:stretch>
                      <a:fillRect/>
                    </a:stretch>
                  </pic:blipFill>
                  <pic:spPr>
                    <a:xfrm>
                      <a:off x="0" y="0"/>
                      <a:ext cx="2239200" cy="2736000"/>
                    </a:xfrm>
                    <a:prstGeom prst="rect">
                      <a:avLst/>
                    </a:prstGeom>
                    <a:ln w="0">
                      <a:noFill/>
                    </a:ln>
                  </pic:spPr>
                </pic:pic>
              </a:graphicData>
            </a:graphic>
          </wp:inline>
        </w:drawing>
      </w:r>
      <w:r>
        <w:rPr>
          <w:color w:val="00274C"/>
          <w:sz w:val="20"/>
          <w:szCs w:val="20"/>
          <w:u w:val="none"/>
        </w:rPr>
        <w:br/>
        <w:t xml:space="preserve">     </w:t>
      </w:r>
      <w:r>
        <w:drawing>
          <wp:inline distT="0" distB="0" distL="0" distR="0">
            <wp:extent cx="2239200" cy="2743200"/>
            <wp:effectExtent b="0" l="0" r="0" t="0"/>
            <wp:docPr id="53314695" name="name38936a69e5a4bb4e2" descr="Fig.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2.jpg"/>
                    <pic:cNvPicPr/>
                  </pic:nvPicPr>
                  <pic:blipFill>
                    <a:blip r:embed="rId64456a69e5a4bb4df" cstate="print"/>
                    <a:stretch>
                      <a:fillRect/>
                    </a:stretch>
                  </pic:blipFill>
                  <pic:spPr>
                    <a:xfrm>
                      <a:off x="0" y="0"/>
                      <a:ext cx="2239200" cy="2743200"/>
                    </a:xfrm>
                    <a:prstGeom prst="rect">
                      <a:avLst/>
                    </a:prstGeom>
                    <a:ln w="0">
                      <a:noFill/>
                    </a:ln>
                  </pic:spPr>
                </pic:pic>
              </a:graphicData>
            </a:graphic>
          </wp:inline>
        </w:drawing>
      </w:r>
    </w:p>
    <w:p>
      <w:pPr>
        <w:widowControl w:val="on"/>
        <w:pBdr/>
        <w:spacing w:before="225" w:after="225" w:line="262" w:lineRule="auto"/>
        <w:ind w:left="0" w:right="0"/>
        <w:jc w:val="left"/>
      </w:pPr>
      <w:r>
        <w:rPr>
          <w:color w:val="00274C"/>
          <w:sz w:val="20"/>
          <w:szCs w:val="20"/>
          <w:u w:val="none"/>
        </w:rPr>
        <w:t xml:space="preserve">  </w:t>
      </w:r>
      <w:r>
        <w:rPr>
          <w:b/>
          <w:bCs/>
          <w:color w:val="00274C"/>
          <w:sz w:val="20"/>
          <w:szCs w:val="20"/>
          <w:u w:val="none"/>
        </w:rPr>
        <w:t xml:space="preserve">Fig 1.1 -</w:t>
      </w:r>
      <w:r>
        <w:rPr>
          <w:color w:val="00274C"/>
          <w:sz w:val="20"/>
          <w:szCs w:val="20"/>
          <w:u w:val="none"/>
        </w:rPr>
        <w:t xml:space="preserve"> </w:t>
      </w:r>
      <w:r>
        <w:rPr>
          <w:b/>
          <w:bCs/>
          <w:color w:val="00274C"/>
          <w:sz w:val="20"/>
          <w:szCs w:val="20"/>
          <w:u w:val="none"/>
        </w:rPr>
        <w:t xml:space="preserve">Fig 1.2</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w:t>
      </w:r>
      <w:r>
        <w:drawing>
          <wp:inline distT="0" distB="0" distL="0" distR="0">
            <wp:extent cx="4824000" cy="1807200"/>
            <wp:effectExtent b="0" l="0" r="0" t="0"/>
            <wp:docPr id="30995380" name="name83076a69e5a4c2cdb" descr="Fig._1.3_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3_EN.jpg"/>
                    <pic:cNvPicPr/>
                  </pic:nvPicPr>
                  <pic:blipFill>
                    <a:blip r:embed="rId49296a69e5a4c2cd7" cstate="print"/>
                    <a:stretch>
                      <a:fillRect/>
                    </a:stretch>
                  </pic:blipFill>
                  <pic:spPr>
                    <a:xfrm>
                      <a:off x="0" y="0"/>
                      <a:ext cx="4824000" cy="1807200"/>
                    </a:xfrm>
                    <a:prstGeom prst="rect">
                      <a:avLst/>
                    </a:prstGeom>
                    <a:ln w="0">
                      <a:noFill/>
                    </a:ln>
                  </pic:spPr>
                </pic:pic>
              </a:graphicData>
            </a:graphic>
          </wp:inline>
        </w:drawing>
      </w:r>
      <w:r>
        <w:rPr>
          <w:b/>
          <w:bCs/>
          <w:color w:val="00274C"/>
          <w:sz w:val="20"/>
          <w:szCs w:val="20"/>
          <w:u w:val="none"/>
        </w:rPr>
        <w:br/>
        <w:t xml:space="preserve">Fig 1.3</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 and operating reference (BASE CONFIGURATION)</w:t>
      </w:r>
    </w:p>
    <w:p>
      <w:pPr>
        <w:widowControl w:val="on"/>
        <w:pBdr/>
        <w:spacing w:before="0" w:after="0" w:line="262" w:lineRule="auto"/>
        <w:ind w:left="0" w:right="0"/>
        <w:jc w:val="left"/>
      </w:pPr>
      <w:r>
        <w:rPr>
          <w:b/>
          <w:bCs/>
          <w:color w:val="00274C"/>
          <w:sz w:val="20"/>
          <w:szCs w:val="20"/>
          <w:u w:val="none"/>
        </w:rPr>
        <w:t xml:space="preserve">VIEW OF EXHAUST SIDE</w:t>
      </w:r>
    </w:p>
    <w:p>
      <w:pPr>
        <w:widowControl w:val="on"/>
        <w:pBdr/>
        <w:spacing w:before="225" w:after="225" w:line="262" w:lineRule="auto"/>
        <w:ind w:left="0" w:right="0"/>
        <w:jc w:val="left"/>
      </w:pPr>
      <w:r>
        <w:drawing>
          <wp:inline distT="0" distB="0" distL="0" distR="0">
            <wp:extent cx="4824000" cy="3124800"/>
            <wp:effectExtent b="0" l="0" r="0" t="0"/>
            <wp:docPr id="80600521" name="name25946a69e5a4ca6f0" descr="Fig.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4.jpg"/>
                    <pic:cNvPicPr/>
                  </pic:nvPicPr>
                  <pic:blipFill>
                    <a:blip r:embed="rId79366a69e5a4ca6ed" cstate="print"/>
                    <a:stretch>
                      <a:fillRect/>
                    </a:stretch>
                  </pic:blipFill>
                  <pic:spPr>
                    <a:xfrm>
                      <a:off x="0" y="0"/>
                      <a:ext cx="4824000" cy="3124800"/>
                    </a:xfrm>
                    <a:prstGeom prst="rect">
                      <a:avLst/>
                    </a:prstGeom>
                    <a:ln w="0">
                      <a:noFill/>
                    </a:ln>
                  </pic:spPr>
                </pic:pic>
              </a:graphicData>
            </a:graphic>
          </wp:inline>
        </w:drawing>
      </w:r>
      <w:r>
        <w:rPr>
          <w:color w:val="00274C"/>
          <w:sz w:val="20"/>
          <w:szCs w:val="20"/>
          <w:u w:val="none"/>
        </w:rPr>
        <w:t xml:space="preserve">  </w:t>
      </w:r>
      <w:r>
        <w:rPr>
          <w:b/>
          <w:bCs/>
          <w:color w:val="00274C"/>
          <w:sz w:val="20"/>
          <w:szCs w:val="20"/>
          <w:u w:val="none"/>
        </w:rPr>
        <w:br/>
        <w:t xml:space="preserve">Fig 1.4</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following chapters contain operating references in order to clearly understand the engine. This paragraph illustrates these references that may be recognised by means of some main internal components.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Should you need to execute complex operations, always consult this paragraph.</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it is advisable to keep this page visible during disassembly and assembly operations.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32227407" name="name62536a69e5a4ceadf"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61896a69e5a4ceadc"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timing system side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75456960" name="name26046a69e5a4d2527"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14936a69e5a4d2524"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flywheel side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51148880" name="name70796a69e5a4d5f95"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45956a69e5a4d5f93"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exhaust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74989083" name="name15316a69e5a4d88a1"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69686a69e5a4d889f"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intake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4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Gears adaptor for 3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drawing>
          <wp:inline distT="0" distB="0" distL="0" distR="0">
            <wp:extent cx="4824000" cy="3297600"/>
            <wp:effectExtent b="0" l="0" r="0" t="0"/>
            <wp:docPr id="63804149" name="name95906a69e5a4e0593" descr="Fig.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5.jpg"/>
                    <pic:cNvPicPr/>
                  </pic:nvPicPr>
                  <pic:blipFill>
                    <a:blip r:embed="rId43336a69e5a4e0590" cstate="print"/>
                    <a:stretch>
                      <a:fillRect/>
                    </a:stretch>
                  </pic:blipFill>
                  <pic:spPr>
                    <a:xfrm>
                      <a:off x="0" y="0"/>
                      <a:ext cx="4824000" cy="3297600"/>
                    </a:xfrm>
                    <a:prstGeom prst="rect">
                      <a:avLst/>
                    </a:prstGeom>
                    <a:ln w="0">
                      <a:noFill/>
                    </a:ln>
                  </pic:spPr>
                </pic:pic>
              </a:graphicData>
            </a:graphic>
          </wp:inline>
        </w:drawing>
      </w:r>
      <w:r>
        <w:rPr>
          <w:b/>
          <w:bCs/>
          <w:color w:val="00274C"/>
          <w:sz w:val="20"/>
          <w:szCs w:val="20"/>
          <w:u w:val="none"/>
        </w:rPr>
        <w:br/>
        <w:br/>
        <w:t xml:space="preserve">Fig 1.5</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TIMING SYSTEM SIDE</w:t>
      </w:r>
      <w:r>
        <w:drawing>
          <wp:inline distT="0" distB="0" distL="0" distR="0">
            <wp:extent cx="4824000" cy="3297600"/>
            <wp:effectExtent b="0" l="0" r="0" t="0"/>
            <wp:docPr id="5334223" name="name46496a69e5a4e97f2" descr="Fig.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6.jpg"/>
                    <pic:cNvPicPr/>
                  </pic:nvPicPr>
                  <pic:blipFill>
                    <a:blip r:embed="rId46426a69e5a4e97ef" cstate="print"/>
                    <a:stretch>
                      <a:fillRect/>
                    </a:stretch>
                  </pic:blipFill>
                  <pic:spPr>
                    <a:xfrm>
                      <a:off x="0" y="0"/>
                      <a:ext cx="4824000" cy="3297600"/>
                    </a:xfrm>
                    <a:prstGeom prst="rect">
                      <a:avLst/>
                    </a:prstGeom>
                    <a:ln w="0">
                      <a:noFill/>
                    </a:ln>
                  </pic:spPr>
                </pic:pic>
              </a:graphicData>
            </a:graphic>
          </wp:inline>
        </w:drawing>
      </w:r>
      <w:r>
        <w:rPr>
          <w:b/>
          <w:bCs/>
          <w:color w:val="00274C"/>
          <w:sz w:val="20"/>
          <w:szCs w:val="20"/>
          <w:u w:val="none"/>
        </w:rPr>
        <w:br/>
        <w:br/>
        <w:t xml:space="preserve">Fig 1.6</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external components of the engine (BASE CONFIGURATION)</w:t>
      </w:r>
    </w:p>
    <w:p>
      <w:pPr>
        <w:widowControl w:val="on"/>
        <w:pBdr/>
        <w:spacing w:before="0" w:after="0" w:line="262" w:lineRule="auto"/>
        <w:ind w:left="0" w:right="0"/>
        <w:jc w:val="left"/>
      </w:pPr>
      <w:r>
        <w:rPr>
          <w:b/>
          <w:bCs/>
          <w:color w:val="00274C"/>
          <w:sz w:val="20"/>
          <w:szCs w:val="20"/>
          <w:u w:val="none"/>
        </w:rPr>
        <w:t xml:space="preserve">VIEW OF TIMING SYSTEM SIDE - EXHAUST</w:t>
      </w:r>
    </w:p>
    <w:p>
      <w:pPr>
        <w:widowControl w:val="on"/>
        <w:pBdr/>
        <w:spacing w:before="225" w:after="225" w:line="262" w:lineRule="auto"/>
        <w:ind w:left="0" w:right="0"/>
        <w:jc w:val="left"/>
      </w:pPr>
      <w:r>
        <w:drawing>
          <wp:inline distT="0" distB="0" distL="0" distR="0">
            <wp:extent cx="4824000" cy="3132000"/>
            <wp:effectExtent b="0" l="0" r="0" t="0"/>
            <wp:docPr id="96204415" name="name17086a69e5a4f112c" descr="Fig.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7.jpg"/>
                    <pic:cNvPicPr/>
                  </pic:nvPicPr>
                  <pic:blipFill>
                    <a:blip r:embed="rId88366a69e5a4f1129" cstate="print"/>
                    <a:stretch>
                      <a:fillRect/>
                    </a:stretch>
                  </pic:blipFill>
                  <pic:spPr>
                    <a:xfrm>
                      <a:off x="0" y="0"/>
                      <a:ext cx="4824000" cy="3132000"/>
                    </a:xfrm>
                    <a:prstGeom prst="rect">
                      <a:avLst/>
                    </a:prstGeom>
                    <a:ln w="0">
                      <a:noFill/>
                    </a:ln>
                  </pic:spPr>
                </pic:pic>
              </a:graphicData>
            </a:graphic>
          </wp:inline>
        </w:drawing>
      </w:r>
    </w:p>
    <w:p>
      <w:pPr>
        <w:widowControl w:val="on"/>
        <w:pBdr/>
        <w:spacing w:before="225" w:after="225" w:line="262" w:lineRule="auto"/>
        <w:ind w:left="0" w:right="0"/>
        <w:jc w:val="left"/>
      </w:pPr>
      <w:r>
        <w:rPr>
          <w:color w:val="00274C"/>
          <w:sz w:val="20"/>
          <w:szCs w:val="20"/>
          <w:u w:val="none"/>
        </w:rPr>
        <w:t xml:space="preserve">  </w:t>
      </w:r>
      <w:r>
        <w:rPr>
          <w:b/>
          <w:bCs/>
          <w:color w:val="00274C"/>
          <w:sz w:val="20"/>
          <w:szCs w:val="20"/>
          <w:u w:val="none"/>
        </w:rPr>
        <w:t xml:space="preserve">Fig 1.7</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rPr>
          <w:color w:val="00274C"/>
          <w:sz w:val="20"/>
          <w:szCs w:val="20"/>
          <w:u w:val="none"/>
        </w:rPr>
        <w:br/>
        <w:t xml:space="preserve">  </w:t>
      </w:r>
      <w:r>
        <w:drawing>
          <wp:inline distT="0" distB="0" distL="0" distR="0">
            <wp:extent cx="4780800" cy="3268800"/>
            <wp:effectExtent b="0" l="0" r="0" t="0"/>
            <wp:docPr id="99904852" name="name60156a69e5a512ce3" descr="Fig._1.8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8_M.jpg"/>
                    <pic:cNvPicPr/>
                  </pic:nvPicPr>
                  <pic:blipFill>
                    <a:blip r:embed="rId85616a69e5a512cde" cstate="print"/>
                    <a:stretch>
                      <a:fillRect/>
                    </a:stretch>
                  </pic:blipFill>
                  <pic:spPr>
                    <a:xfrm>
                      <a:off x="0" y="0"/>
                      <a:ext cx="4780800" cy="3268800"/>
                    </a:xfrm>
                    <a:prstGeom prst="rect">
                      <a:avLst/>
                    </a:prstGeom>
                    <a:ln w="0">
                      <a:noFill/>
                    </a:ln>
                  </pic:spPr>
                </pic:pic>
              </a:graphicData>
            </a:graphic>
          </wp:inline>
        </w:drawing>
      </w:r>
      <w:r>
        <w:rPr>
          <w:b/>
          <w:bCs/>
          <w:color w:val="00274C"/>
          <w:sz w:val="20"/>
          <w:szCs w:val="20"/>
          <w:u w:val="none"/>
        </w:rPr>
        <w:br/>
        <w:t xml:space="preserve">Fig 1.8</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This paragraph illustrates all external components that are present in the base configuration of the engine.</w:t>
            </w:r>
            <w:r>
              <w:rPr>
                <w:color w:val="00274C"/>
                <w:position w:val="-2"/>
                <w:sz w:val="20"/>
                <w:szCs w:val="20"/>
                <w:u w:val="none"/>
              </w:rPr>
              <w:br/>
              <w:t xml:space="preserve">For components present on engines that differ from those represented in these illustrations, refer to </w:t>
            </w:r>
            <w:hyperlink r:id="rId56036a69e5a5130b0" w:history="1">
              <w:r>
                <w:rPr>
                  <w:rStyle w:val="DefaultParagraphFontPHPDOCX"/>
                  <w:b/>
                  <w:bCs/>
                  <w:color w:val="0000FF"/>
                  <w:position w:val="-2"/>
                  <w:sz w:val="20"/>
                  <w:szCs w:val="20"/>
                  <w:u w:val="single" w:color=""/>
                </w:rPr>
                <w:t xml:space="preserve">Chap. 11</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NOTE:</w:t>
            </w:r>
            <w:r>
              <w:rPr>
                <w:color w:val="00274C"/>
                <w:position w:val="0"/>
                <w:sz w:val="20"/>
                <w:szCs w:val="20"/>
                <w:u w:val="none"/>
              </w:rPr>
              <w:t xml:space="preserve"> The illustrated components may differ from those illustrated; the illustration is only as an example.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identification name plate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Flange bell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Injectors</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UPPER VIEW</w:t>
      </w:r>
      <w:r>
        <w:rPr>
          <w:color w:val="00274C"/>
          <w:sz w:val="20"/>
          <w:szCs w:val="20"/>
          <w:u w:val="none"/>
        </w:rPr>
        <w:br/>
        <w:t xml:space="preserve">  </w:t>
      </w:r>
      <w:r>
        <w:drawing>
          <wp:inline distT="0" distB="0" distL="0" distR="0">
            <wp:extent cx="4881600" cy="3261600"/>
            <wp:effectExtent b="0" l="0" r="0" t="0"/>
            <wp:docPr id="59509696" name="name78936a69e5a534abd" descr="Fig._1.9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9_M.jpg"/>
                    <pic:cNvPicPr/>
                  </pic:nvPicPr>
                  <pic:blipFill>
                    <a:blip r:embed="rId97376a69e5a534ab8" cstate="print"/>
                    <a:stretch>
                      <a:fillRect/>
                    </a:stretch>
                  </pic:blipFill>
                  <pic:spPr>
                    <a:xfrm>
                      <a:off x="0" y="0"/>
                      <a:ext cx="4881600" cy="3261600"/>
                    </a:xfrm>
                    <a:prstGeom prst="rect">
                      <a:avLst/>
                    </a:prstGeom>
                    <a:ln w="0">
                      <a:noFill/>
                    </a:ln>
                  </pic:spPr>
                </pic:pic>
              </a:graphicData>
            </a:graphic>
          </wp:inline>
        </w:drawing>
      </w:r>
      <w:r>
        <w:rPr>
          <w:b/>
          <w:bCs/>
          <w:color w:val="00274C"/>
          <w:sz w:val="20"/>
          <w:szCs w:val="20"/>
          <w:u w:val="none"/>
        </w:rPr>
        <w:br/>
        <w:t xml:space="preserve">Fig 1.9</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6897">
    <w:multiLevelType w:val="hybridMultilevel"/>
    <w:lvl w:ilvl="0" w:tplc="47985999">
      <w:start w:val="1"/>
      <w:numFmt w:val="decimal"/>
      <w:lvlText w:val="%1."/>
      <w:lvlJc w:val="left"/>
      <w:pPr>
        <w:ind w:left="720" w:hanging="360"/>
      </w:pPr>
    </w:lvl>
    <w:lvl w:ilvl="1" w:tplc="47985999" w:tentative="1">
      <w:start w:val="1"/>
      <w:numFmt w:val="lowerLetter"/>
      <w:lvlText w:val="%2."/>
      <w:lvlJc w:val="left"/>
      <w:pPr>
        <w:ind w:left="1440" w:hanging="360"/>
      </w:pPr>
    </w:lvl>
    <w:lvl w:ilvl="2" w:tplc="47985999" w:tentative="1">
      <w:start w:val="1"/>
      <w:numFmt w:val="lowerRoman"/>
      <w:lvlText w:val="%3."/>
      <w:lvlJc w:val="right"/>
      <w:pPr>
        <w:ind w:left="2160" w:hanging="180"/>
      </w:pPr>
    </w:lvl>
    <w:lvl w:ilvl="3" w:tplc="47985999" w:tentative="1">
      <w:start w:val="1"/>
      <w:numFmt w:val="decimal"/>
      <w:lvlText w:val="%4."/>
      <w:lvlJc w:val="left"/>
      <w:pPr>
        <w:ind w:left="2880" w:hanging="360"/>
      </w:pPr>
    </w:lvl>
    <w:lvl w:ilvl="4" w:tplc="47985999" w:tentative="1">
      <w:start w:val="1"/>
      <w:numFmt w:val="lowerLetter"/>
      <w:lvlText w:val="%5."/>
      <w:lvlJc w:val="left"/>
      <w:pPr>
        <w:ind w:left="3600" w:hanging="360"/>
      </w:pPr>
    </w:lvl>
    <w:lvl w:ilvl="5" w:tplc="47985999" w:tentative="1">
      <w:start w:val="1"/>
      <w:numFmt w:val="lowerRoman"/>
      <w:lvlText w:val="%6."/>
      <w:lvlJc w:val="right"/>
      <w:pPr>
        <w:ind w:left="4320" w:hanging="180"/>
      </w:pPr>
    </w:lvl>
    <w:lvl w:ilvl="6" w:tplc="47985999" w:tentative="1">
      <w:start w:val="1"/>
      <w:numFmt w:val="decimal"/>
      <w:lvlText w:val="%7."/>
      <w:lvlJc w:val="left"/>
      <w:pPr>
        <w:ind w:left="5040" w:hanging="360"/>
      </w:pPr>
    </w:lvl>
    <w:lvl w:ilvl="7" w:tplc="47985999" w:tentative="1">
      <w:start w:val="1"/>
      <w:numFmt w:val="lowerLetter"/>
      <w:lvlText w:val="%8."/>
      <w:lvlJc w:val="left"/>
      <w:pPr>
        <w:ind w:left="5760" w:hanging="360"/>
      </w:pPr>
    </w:lvl>
    <w:lvl w:ilvl="8" w:tplc="47985999" w:tentative="1">
      <w:start w:val="1"/>
      <w:numFmt w:val="lowerRoman"/>
      <w:lvlText w:val="%9."/>
      <w:lvlJc w:val="right"/>
      <w:pPr>
        <w:ind w:left="6480" w:hanging="180"/>
      </w:pPr>
    </w:lvl>
  </w:abstractNum>
  <w:abstractNum w:abstractNumId="26896">
    <w:multiLevelType w:val="hybridMultilevel"/>
    <w:lvl w:ilvl="0" w:tplc="942031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6896">
    <w:abstractNumId w:val="26896"/>
  </w:num>
  <w:num w:numId="26897">
    <w:abstractNumId w:val="268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21444879" Type="http://schemas.openxmlformats.org/officeDocument/2006/relationships/comments" Target="comments.xml"/><Relationship Id="rId674898342" Type="http://schemas.microsoft.com/office/2011/relationships/commentsExtended" Target="commentsExtended.xml"/><Relationship Id="rId48223164" Type="http://schemas.openxmlformats.org/officeDocument/2006/relationships/image" Target="media/imgrId48223164.jpg"/><Relationship Id="rId64046a69e5a4a1ff2" Type="http://schemas.openxmlformats.org/officeDocument/2006/relationships/hyperlink" Target="https://iservice.lombardini.it/jsp/Template2/manuale.jsp?id=259&amp;parent=1136" TargetMode="External"/><Relationship Id="rId94156a69e5a4a20bc" Type="http://schemas.openxmlformats.org/officeDocument/2006/relationships/hyperlink" Target="https://iservice.lombardini.it/jsp/Template2/manuale.jsp?id=260&amp;parent=1136" TargetMode="External"/><Relationship Id="rId94736a69e5a4a2daf" Type="http://schemas.openxmlformats.org/officeDocument/2006/relationships/hyperlink" Target="https://iservice.lombardini.it/jsp/Template2/manuale.jsp?id=335&amp;parent=1136" TargetMode="External"/><Relationship Id="rId64566a69e5a4a2e69" Type="http://schemas.openxmlformats.org/officeDocument/2006/relationships/hyperlink" Target="https://iservice.lombardini.it/jsp/Template2/manuale.jsp?id=335&amp;parent=1136" TargetMode="External"/><Relationship Id="rId18726a69e5a4a3d32" Type="http://schemas.openxmlformats.org/officeDocument/2006/relationships/hyperlink" Target="https://iservice.lombardini.it/jsp/Template2/manuale.jsp?id=282&amp;parent=1136" TargetMode="External"/><Relationship Id="rId81576a69e5a4a3e1c" Type="http://schemas.openxmlformats.org/officeDocument/2006/relationships/hyperlink" Target="https://iservice.lombardini.it/jsp/Template2/manuale.jsp?id=282&amp;parent=1136" TargetMode="External"/><Relationship Id="rId56036a69e5a5130b0" Type="http://schemas.openxmlformats.org/officeDocument/2006/relationships/hyperlink" Target="https://iservice.lombardini.it/jsp/Template2/manuale.jsp?id=341&amp;parent=1136" TargetMode="External"/><Relationship Id="rId65466a69e5a4b08c9" Type="http://schemas.openxmlformats.org/officeDocument/2006/relationships/image" Target="media/imgrId65466a69e5a4b08c9.jpg"/><Relationship Id="rId64456a69e5a4bb4df" Type="http://schemas.openxmlformats.org/officeDocument/2006/relationships/image" Target="media/imgrId64456a69e5a4bb4df.jpg"/><Relationship Id="rId49296a69e5a4c2cd7" Type="http://schemas.openxmlformats.org/officeDocument/2006/relationships/image" Target="media/imgrId49296a69e5a4c2cd7.jpg"/><Relationship Id="rId79366a69e5a4ca6ed" Type="http://schemas.openxmlformats.org/officeDocument/2006/relationships/image" Target="media/imgrId79366a69e5a4ca6ed.jpg"/><Relationship Id="rId61896a69e5a4ceadc" Type="http://schemas.openxmlformats.org/officeDocument/2006/relationships/image" Target="media/imgrId61896a69e5a4ceadc.gif"/><Relationship Id="rId14936a69e5a4d2524" Type="http://schemas.openxmlformats.org/officeDocument/2006/relationships/image" Target="media/imgrId14936a69e5a4d2524.gif"/><Relationship Id="rId45956a69e5a4d5f93" Type="http://schemas.openxmlformats.org/officeDocument/2006/relationships/image" Target="media/imgrId45956a69e5a4d5f93.gif"/><Relationship Id="rId69686a69e5a4d889f" Type="http://schemas.openxmlformats.org/officeDocument/2006/relationships/image" Target="media/imgrId69686a69e5a4d889f.gif"/><Relationship Id="rId43336a69e5a4e0590" Type="http://schemas.openxmlformats.org/officeDocument/2006/relationships/image" Target="media/imgrId43336a69e5a4e0590.jpg"/><Relationship Id="rId46426a69e5a4e97ef" Type="http://schemas.openxmlformats.org/officeDocument/2006/relationships/image" Target="media/imgrId46426a69e5a4e97ef.jpg"/><Relationship Id="rId88366a69e5a4f1129" Type="http://schemas.openxmlformats.org/officeDocument/2006/relationships/image" Target="media/imgrId88366a69e5a4f1129.jpg"/><Relationship Id="rId85616a69e5a512cde" Type="http://schemas.openxmlformats.org/officeDocument/2006/relationships/image" Target="media/imgrId85616a69e5a512cde.jpg"/><Relationship Id="rId97376a69e5a534ab8" Type="http://schemas.openxmlformats.org/officeDocument/2006/relationships/image" Target="media/imgrId97376a69e5a534ab8.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48223164" Type="http://schemas.openxmlformats.org/officeDocument/2006/relationships/image" Target="media/imgrId4822316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48223164" Type="http://schemas.openxmlformats.org/officeDocument/2006/relationships/image" Target="media/imgrId4822316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48223164" Type="http://schemas.openxmlformats.org/officeDocument/2006/relationships/image" Target="media/imgrId4822316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48223164" Type="http://schemas.openxmlformats.org/officeDocument/2006/relationships/image" Target="media/imgrId4822316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48223164" Type="http://schemas.openxmlformats.org/officeDocument/2006/relationships/image" Target="media/imgrId4822316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48223164" Type="http://schemas.openxmlformats.org/officeDocument/2006/relationships/image" Target="media/imgrId4822316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