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????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null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0000457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03667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4277679" w:name="ctxt"/>
    <w:bookmarkEnd w:id="1427767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技术信息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发动机外形尺寸 (mm)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4752000" cy="2750400"/>
            <wp:effectExtent b="0" l="0" r="0" t="0"/>
            <wp:docPr id="56498187" name="name58916a717cfeb0a1a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43766a717cfeb0a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2750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机油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4248465" name="name16896a717cfeb3da3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52376a717cfeb3da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重要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0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发动机运行在不正确的机油液位，会导致发动机损坏。</w:t>
      </w:r>
    </w:p>
    <w:p>
      <w:pPr>
        <w:numPr>
          <w:ilvl w:val="0"/>
          <w:numId w:val="10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加注机油不要超过最高液位，这样会使得烧机油从而导致发动机突然超速。</w:t>
      </w:r>
    </w:p>
    <w:p>
      <w:pPr>
        <w:numPr>
          <w:ilvl w:val="0"/>
          <w:numId w:val="10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使用推荐标号的机油会更有效保护发动机和保证发动机的使用寿命。</w:t>
      </w:r>
    </w:p>
    <w:p>
      <w:pPr>
        <w:numPr>
          <w:ilvl w:val="0"/>
          <w:numId w:val="10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使用推荐标号以外的机油会缩短发动机的使用寿命。</w:t>
      </w:r>
    </w:p>
    <w:p>
      <w:pPr>
        <w:numPr>
          <w:ilvl w:val="0"/>
          <w:numId w:val="10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粘度必须根据发动机所在的环境温度决定。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1990704" name="name55396a717cfeb829b" descr="Z_Pericolo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Pericolo.jpg"/>
                    <pic:cNvPicPr/>
                  </pic:nvPicPr>
                  <pic:blipFill>
                    <a:blip r:embed="rId41696a717cfeb82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危险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0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皮肤长期接触发动机的废机油会导致皮肤癌。</w:t>
      </w:r>
    </w:p>
    <w:p>
      <w:pPr>
        <w:numPr>
          <w:ilvl w:val="0"/>
          <w:numId w:val="10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如果不能避免的接触机油，请尽快用肥皂和水仔细清洗你的双手。</w:t>
      </w:r>
    </w:p>
    <w:p>
      <w:pPr>
        <w:numPr>
          <w:ilvl w:val="0"/>
          <w:numId w:val="10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废机油的排放请参照 第 废弃物和报废处理.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br/>
        <w:t xml:space="preserve">2.4.1 SAE 机油等级</w:t>
      </w:r>
    </w:p>
    <w:p>
      <w:pPr>
        <w:numPr>
          <w:ilvl w:val="0"/>
          <w:numId w:val="10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在SAE机油分级中，机油是按照粘度来分级的，不考虑机油其他的性能特性。</w:t>
      </w:r>
    </w:p>
    <w:p>
      <w:pPr>
        <w:numPr>
          <w:ilvl w:val="0"/>
          <w:numId w:val="10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代码由两组数字组成。第一组数字是表示冬季低温粘度（W=冬天），第二组数字表示高温粘度。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0000"/>
          <w:sz w:val="20"/>
          <w:szCs w:val="20"/>
          <w:u w:val="none"/>
        </w:rPr>
        <w:t xml:space="preserve">请根据换油间隔期间的环境气温范围，使用相应粘度的机油，如下表所示。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0000"/>
          <w:sz w:val="20"/>
          <w:szCs w:val="20"/>
          <w:u w:val="none"/>
        </w:rPr>
        <w:t xml:space="preserve">Rehlko X-treme 10W-40 formula pro、X-treme 10W-40、X-treme 5W-40 机油：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353"/>
              </w:rPr>
              <w:drawing>
                <wp:inline distT="0" distB="0" distL="0" distR="0">
                  <wp:extent cx="2844000" cy="4456800"/>
                  <wp:effectExtent b="0" l="0" r="0" t="0"/>
                  <wp:docPr id="51902966" name="name22266a717cfebe9fc" descr="Rehlko_Xtreme%2520Conditions%252010w-40%2520Oil%2520-%2520EMEA%2520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hlko_Xtreme%2520Conditions%252010w-40%2520Oil%2520-%2520EMEA%2520-1.jpg"/>
                          <pic:cNvPicPr/>
                        </pic:nvPicPr>
                        <pic:blipFill>
                          <a:blip r:embed="rId77116a717cfebe9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4000" cy="445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353"/>
              </w:rPr>
              <w:drawing>
                <wp:inline distT="0" distB="0" distL="0" distR="0">
                  <wp:extent cx="2844000" cy="4456800"/>
                  <wp:effectExtent b="0" l="0" r="0" t="0"/>
                  <wp:docPr id="89333835" name="name28996a717cfec652c" descr="Rehlko_Extreme%2520Conditions%25205W40%2520Oil%2520-%2520NA%2520-%252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hlko_Extreme%2520Conditions%25205W40%2520Oil%2520-%2520NA%2520-%25202.jpg"/>
                          <pic:cNvPicPr/>
                        </pic:nvPicPr>
                        <pic:blipFill>
                          <a:blip r:embed="rId32616a717cfec65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4000" cy="445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325"/>
              </w:rPr>
              <w:drawing>
                <wp:inline distT="0" distB="0" distL="0" distR="0">
                  <wp:extent cx="2865600" cy="4118400"/>
                  <wp:effectExtent b="0" l="0" r="0" t="0"/>
                  <wp:docPr id="55878175" name="name83816a717cfecd20c" descr="Rehlko_Xtreme%2520Conditions%252010w-40%2520Oil%2520-%2520INDIA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hlko_Xtreme%2520Conditions%252010w-40%2520Oil%2520-%2520INDIA2.jpg"/>
                          <pic:cNvPicPr/>
                        </pic:nvPicPr>
                        <pic:blipFill>
                          <a:blip r:embed="rId91746a717cfecd2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5600" cy="411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righ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righ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0000"/>
          <w:sz w:val="20"/>
          <w:szCs w:val="20"/>
          <w:u w:val="none"/>
        </w:rPr>
        <w:t xml:space="preserve">还推荐符合以下规格的机油。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0000"/>
          <w:sz w:val="20"/>
          <w:szCs w:val="20"/>
          <w:u w:val="none"/>
        </w:rPr>
        <w:t xml:space="preserve">2.2</w:t>
      </w:r>
    </w:p>
    <w:p>
      <w:pPr>
        <w:widowControl w:val="on"/>
        <w:pBdr/>
        <w:spacing w:before="0" w:after="0" w:line="262" w:lineRule="auto"/>
        <w:ind w:left="0" w:right="0"/>
        <w:jc w:val="right"/>
      </w:pPr>
      <w:r>
        <w:rPr>
          <w:b/>
          <w:bCs/>
          <w:color w:val="00274C"/>
          <w:sz w:val="20"/>
          <w:szCs w:val="20"/>
          <w:u w:val="none"/>
        </w:rPr>
        <w:t xml:space="preserve">2.2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6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推荐机油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粘度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SAE</w:t>
            </w:r>
          </w:p>
        </w:tc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10w-30 (-25°C ÷ +40°C) 10w-40 (-25°C ÷ +50°C)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br/>
              <w:t xml:space="preserve">5w-30 (-30°C ÷ +40°C)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br/>
              <w:t xml:space="preserve">0w-40 (-40°C ÷ +50°C)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规格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API</w:t>
            </w:r>
          </w:p>
        </w:tc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CI-4 Plus CI-4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br/>
              <w:t xml:space="preserve">CH-4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ACEA</w:t>
            </w:r>
          </w:p>
        </w:tc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E7</w:t>
            </w:r>
          </w:p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0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硫酸盐灰分低于 1% 的低 S.A.P.S. 燃油无法使用含硫量高于 50ppm 的燃料。</w:t>
      </w:r>
    </w:p>
    <w:p>
      <w:pPr>
        <w:numPr>
          <w:ilvl w:val="0"/>
          <w:numId w:val="10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燃油的过滤对于正确操作和润滑而言至关重要；应按照本手册的要求定期更换过滤器。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柴油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59280897" name="name40336a717cfed54de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14046a717cfed54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重要信息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使用其他类型的燃料可能会损坏发动机。请勿使用脏污柴油燃料或柴油燃料与水的混合物，因为这样会导致严重的发动机故障。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使用推荐以外的其他燃料所导致的任何故障均无法获得保修。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0"/>
              </w:rPr>
              <w:drawing>
                <wp:inline distT="0" distB="0" distL="0" distR="0">
                  <wp:extent cx="324000" cy="324000"/>
                  <wp:effectExtent b="0" l="0" r="0" t="0"/>
                  <wp:docPr id="42618586" name="name90756a717cfedc86a" descr="Avvertenz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vvertenza.png"/>
                          <pic:cNvPicPr/>
                        </pic:nvPicPr>
                        <pic:blipFill>
                          <a:blip r:embed="rId86016a717cfedc8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警告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清洁燃料可防止燃料喷射器堵塞。补给燃料时应及时清理任何溢出物。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切勿在镀锌容器（即，带有锌涂层的容器）中存储柴油燃料。柴油燃料和镀锌涂层彼此会发生化学反应，产生迅速堵塞过滤器或导致燃油泵和/或喷射器故障的剥落物。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因使用 Tab 以外的燃料而导致的任何故障。 2.3、2.4不在保修范围内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十六烷值最低为 40。 十六烷值大于 47 是首选，尤其是温度低于 –20 °C (–4 °F) 或海拔高于 1675 m (5500 ft.) 时。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受严格监管的发动机（欧盟、美国、加拿大、日本、中国、印度）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欧盟 EN 590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北美 ASTM D975 No. 2-D S15；No. 1-D S15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日本 JIS K 2204 No. 1；No. 2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印度 BS-V ULSD；BS-VI ULSD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中国 GB 19147-2016 ULSD； GB 17691—2018 超低硫柴油 (ULSD)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HVO EN 15940 或 ASTM D975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北约军用燃料 F-54，硫含量 &lt; 10ppm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非管制或低硫发动机（世界其他地区及军事应用）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等同于上述所有规格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等同于上述所有规格，但硫含量 &lt; 500ppm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等同于上述所有规格，但硫含量 &lt; 2000ppm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F-34/F-35（北约煤油）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(1)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F-44（北约煤油）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(1)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F-63（北约煤油，相当于添加添加剂的 F-34/F-35）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(1)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JP-8（美国军用煤油）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(1)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JP-5（美国军用煤油）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(1)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Jet A / A1（民用航空煤油）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(1)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使用航空煤油的操作：航空煤油可以使用，但必须加装带有润滑性计量器的燃油过滤器。由于密度较低，粘度较低，泄漏量较大，根据发动机转速和扭矩的不同，功率损失可能高达 10%。所列航空煤油存在一些问题特性（粘度、润滑性能和低沸点）。预计喷射系统磨损会略有增加，这可能导致这些部件的使用寿命在统计上缩短。硫含量必须低于 2000ppm。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2.5.1 燃油添加剂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为了帮助维持发动机喷射系统的性能，Rehlko 为北美市场开发了一系列燃油添加剂产品。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其中，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Extra Performance Fuel Additive Arctic Formula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是一款冬季燃油调节剂，而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Extra Performance Fuel Additive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则可清除和预防燃油喷射器积碳。请咨询您当地的 Rehlko 经销商了解供货情况。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rFonts w:ascii="Arial" w:hAnsi="Arial" w:eastAsia="Arial" w:cs="Arial"/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Rehlko Extra Performance Fuel Additive</w:t>
                  </w:r>
                </w:p>
                <w:p>
                  <w:pPr>
                    <w:widowControl w:val="on"/>
                    <w:pBdr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(仅限北美地区)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/>
                <w:p>
                  <w:r>
                    <w:rPr>
                      <w:position w:val="-620"/>
                    </w:rPr>
                    <w:drawing>
                      <wp:inline distT="0" distB="0" distL="0" distR="0">
                        <wp:extent cx="1591200" cy="3924000"/>
                        <wp:effectExtent b="0" l="0" r="0" t="0"/>
                        <wp:docPr id="49439748" name="name74726a717cfee37b2" descr="Rehlko_Extra%2520Performance%2520Fuel%2520Additive%2520-%2520N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ehlko_Extra%2520Performance%2520Fuel%2520Additive%2520-%2520NA.jpg"/>
                                <pic:cNvPicPr/>
                              </pic:nvPicPr>
                              <pic:blipFill>
                                <a:blip r:embed="rId20146a717cfee37af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1200" cy="39240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每年或每运行500小时，在加注夏季或冬季柴油之前，使用Rehlko喷油嘴清洁剂柴油添加剂。本产品配方可清除喷油嘴内的积碳，并润滑高压油泵和喷油嘴，从而减少磨损，提高燃油品质。适用于所有尾气排放系统，包括柴油颗粒过滤器（DPF）。请遵循产品标签上的所有建议说明。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Rehlko Extra Performance Fuel Additive Arctic Formula</w:t>
                  </w:r>
                </w:p>
                <w:p>
                  <w:pPr>
                    <w:widowControl w:val="on"/>
                    <w:pBdr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(仅限北美地区)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732"/>
                    </w:rPr>
                    <w:drawing>
                      <wp:inline distT="0" distB="0" distL="0" distR="0">
                        <wp:extent cx="1864800" cy="4622400"/>
                        <wp:effectExtent b="0" l="0" r="0" t="0"/>
                        <wp:docPr id="30733666" name="name60746a717cfeeb3bd" descr="Rehlko_Fuel%2520Additive%2520Arctic%2520Formula%2520-%2520N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ehlko_Fuel%2520Additive%2520Arctic%2520Formula%2520-%2520NA.jpg"/>
                                <pic:cNvPicPr/>
                              </pic:nvPicPr>
                              <pic:blipFill>
                                <a:blip r:embed="rId22116a717cfeeb3bb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64800" cy="4622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在寒冷季节，请使用 Rehlko 超强效燃油添加剂北极配方，该配方含有抗凝剂，可用于处理非冬季燃油（北美地区为 2-D 号燃油）。这样可以将燃油的适用温度延长至低于浊点约 10°C (18°F)。如需在更低温度下使用，请使用冬季燃油。当室外温度降至 0°C (32°F) 以下时，请对燃油进行处理。为获得最佳效果，请使用未经处理的燃油，并遵循产品标签上的所有建议说明。</w:t>
                  </w:r>
                </w:p>
                <w:p/>
                <w:p/>
                <w:p>
                  <w:pPr>
                    <w:widowControl w:val="on"/>
                    <w:pBdr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浊点是指燃油中开始形成蜡质并导致滤清器堵塞的温度。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如果燃料在油箱中长期（一年或更长时间）储存，则允许使用具有杀菌剂/除藻剂功能的燃料添加剂。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如需推荐品牌和型号，请联系  </w:t>
                  </w: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Rehlko </w:t>
                  </w: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 工作人员。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注意：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 加注这些添加剂时，必须按照产品规定的百分比将其稀释在燃油中。</w:t>
                  </w:r>
                </w:p>
                <w:p/>
                <w:p/>
              </w:tc>
              <w:tc>
                <w:tcPr>
                  <w:gridSpan w:val="1"/>
                  <w:vMerge w:val="continue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</w:tcPr>
                <w:p/>
              </w:tc>
            </w:tr>
          </w:tbl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冷却剂建议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首选 Rehlko Xtended™ 预稀释冷却液（50% 乙二醇），OAT 适用。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53"/>
              </w:rPr>
              <w:drawing>
                <wp:inline distT="0" distB="0" distL="0" distR="0">
                  <wp:extent cx="2844000" cy="4456800"/>
                  <wp:effectExtent b="0" l="0" r="0" t="0"/>
                  <wp:docPr id="70634091" name="name61346a717cfef37fe" descr="Rehlko_Xtended%2520Life%2520Coolant%2520-%2520N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hlko_Xtended%2520Life%2520Coolant%2520-%2520NA.jpg"/>
                          <pic:cNvPicPr/>
                        </pic:nvPicPr>
                        <pic:blipFill>
                          <a:blip r:embed="rId50786a717cfef37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4000" cy="445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建议使用符合以下规格的冷却液。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必须使用 50% 的软化水和 50% 低硅酸盐乙二醇基冷却液的混合物。 使用无硅酸盐、磷酸盐、硼酸盐、亚硝酸盐和胺类的长寿命或延长寿命的重型 OAT 冷却剂。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KSD 发动机系列的所有型号均可使用下列乙二醇基发动机冷却剂: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OAT（有机酸技术）低硅酸盐: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ASTM D-3306 D-6210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HOAT（混合有机酸技术）低硅酸盐: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ASTM D-3306 D-6210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以上浓缩配方的冷却剂必须与蒸馏水、去离子水或软化水混合。条件允许时，可直接使用预混合配方（40-60% 或 50%-50%）。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34973758" name="name31266a717cff0509b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56626a717cff050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请勿混合乙二醇和丙二醇基冷却剂。请勿混合 OAT 和 HOAT 基冷却剂。如果被含有亚硝酸盐的冷却剂污染，OAT 的使用寿命会大大降低。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切勿使用汽车型冷却剂。此类冷却剂不含可保护重型柴油发动机的正确添加剂。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如果使用相同类型的冷却剂加满冷却系统，OAT 冷却剂可免维护运行长达 5 年或 4000 小时。请勿将不同种类的冷却剂混合。每年用冷却剂试纸测试冷却剂的状况。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HOAT 并不是完全免维护的，建议在第一次维护期间添加 SCA（补充冷却剂添加剂）</w:t>
            </w:r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蓄电池规格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科勒公司不提供蓄电池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2.7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推荐使用蓄电池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环境温度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蓄电池型号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&gt; - 15°C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12V 100 Ah - 800 CCA/SAE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-15°C ÷ -25°C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12V 110 Ah - 950 CCA/SAE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&lt; - 25°C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12V 120 Ah - 1000 CCA/SAE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柴油系统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2.9.1 供油系统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662764" name="name11746a717cff0ba5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096a717cff0ba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重要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如果柴油受到污染，高压柴油喷射系统极易损坏。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柴油喷射系统的所有零部件在拆卸前需要彻底清洁，这是非常重要的。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在做维护保养前彻底清洁发动机。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喷射系统中的柴油受到污染会引起发动机效率降低/增加发动机运行故障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如果需要使用高压水冲洗发动机，喷嘴必须与表面保持最少200mm的距离，并且不能直接对准电气部件和接头。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从油箱1到喷油泵5，是低压供油系统。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表. 2.12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位置.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描述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油箱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从油箱到喷油泵的柴油供油管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柴油滤清器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电子供油泵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喷油泵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喷油泵到喷油器高压管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喷油器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378"/>
              </w:rPr>
              <w:drawing>
                <wp:inline distT="0" distB="0" distL="0" distR="0">
                  <wp:extent cx="2217600" cy="2426400"/>
                  <wp:effectExtent b="0" l="0" r="0" t="0"/>
                  <wp:docPr id="77031895" name="name31556a717cff14665" descr="Fig._2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2.4.jpg"/>
                          <pic:cNvPicPr/>
                        </pic:nvPicPr>
                        <pic:blipFill>
                          <a:blip r:embed="rId94186a717cff146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4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图. 2.4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2.9.2 柴油回油系统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柴油回油系统是低压。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表.  2.13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位置.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描述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喷油器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喷油器回油管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喷油泵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油箱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到油箱回油管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310"/>
              </w:rPr>
              <w:drawing>
                <wp:inline distT="0" distB="0" distL="0" distR="0">
                  <wp:extent cx="2196000" cy="2001600"/>
                  <wp:effectExtent b="0" l="0" r="0" t="0"/>
                  <wp:docPr id="75149713" name="name79446a717cff2070e" descr="Fig._2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2.5.jpg"/>
                          <pic:cNvPicPr/>
                        </pic:nvPicPr>
                        <pic:blipFill>
                          <a:blip r:embed="rId48406a717cff207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200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图. 2.5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2.9.3 喷油泵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喷油泵通过泵控制齿轮 </w:t>
            </w:r>
            <w:hyperlink r:id="rId77746a717cff20b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(表. 2.35 - 位置 7)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驱动并且向喷油器提供好压柴油。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注意: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高压回路出现泄漏不要立即停止发动机运行，但是在检查泄漏前运行5-10分钟发动机后停机。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表.  2.14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描述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加速杆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最小转速调整 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最大转速调整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力矩调整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高压柴油到喷油器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返回燃油箱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柴油进口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冷起动提前装置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垫片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轴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提前设定（锁住）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喷油泵铭牌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放气螺丝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油泵驱动轴锁住机构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6"/>
              </w:rPr>
              <w:drawing>
                <wp:inline distT="0" distB="0" distL="0" distR="0">
                  <wp:extent cx="2491200" cy="1670400"/>
                  <wp:effectExtent b="0" l="0" r="0" t="0"/>
                  <wp:docPr id="3313453" name="name42156a717cff2a190" descr="Fig._2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2.6.jpg"/>
                          <pic:cNvPicPr/>
                        </pic:nvPicPr>
                        <pic:blipFill>
                          <a:blip r:embed="rId17136a717cff2a1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1200" cy="167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图. 2.6</w:t>
            </w:r>
            <w:r>
              <w:rPr>
                <w:position w:val="-264"/>
              </w:rPr>
              <w:drawing>
                <wp:inline distT="0" distB="0" distL="0" distR="0">
                  <wp:extent cx="2541600" cy="1713600"/>
                  <wp:effectExtent b="0" l="0" r="0" t="0"/>
                  <wp:docPr id="44101233" name="name64416a717cff310fd" descr="Fig._2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2.7.jpg"/>
                          <pic:cNvPicPr/>
                        </pic:nvPicPr>
                        <pic:blipFill>
                          <a:blip r:embed="rId20766a717cff310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1600" cy="171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图. 2.7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2.9.4 喷油器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用来喷射柴油的机构，以一个或多个喷嘴提供适当的油雾和按一定角度向燃烧室喷射柴油。他们由金属体组成，内部有活动部件作用在喷嘴上：这样，克服了弹簧的反作用力，允许高压柴油被释放出来。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开启压力：260-268 bar (3770-3886 PSI)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252904" name="name29156a717cff35af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626a717cff35a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重要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喷油器需要每个校验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柴油受到污染会严重损坏喷油系统。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表.  2.15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描述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柴油进口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密封圈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密封圈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喷嘴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柴油回油孔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390"/>
              </w:rPr>
              <w:drawing>
                <wp:inline distT="0" distB="0" distL="0" distR="0">
                  <wp:extent cx="1807200" cy="2505600"/>
                  <wp:effectExtent b="0" l="0" r="0" t="0"/>
                  <wp:docPr id="20026683" name="name15456a717cff3c97c" descr="Fig._2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2.8.jpg"/>
                          <pic:cNvPicPr/>
                        </pic:nvPicPr>
                        <pic:blipFill>
                          <a:blip r:embed="rId76606a717cff3c9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200" cy="250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图. 2.8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2.9.5 柴油滤清器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柴油滤清器位于发动机曲轴箱上或安装在设备的机架上。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表.  2.16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位置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部件描述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柴油滤芯支座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放气螺丝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柴油滤芯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柴油含水传感器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rFonts w:ascii="Geneva" w:hAnsi="Geneva" w:eastAsia="Geneva" w:cs="Geneva"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水排放口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表.  2.17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滤芯特性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描述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数值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过滤面积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2.300 cm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过滤程度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 µm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最大压力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2.0 Bar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56"/>
              </w:rPr>
              <w:drawing>
                <wp:inline distT="0" distB="0" distL="0" distR="0">
                  <wp:extent cx="2102400" cy="2916000"/>
                  <wp:effectExtent b="0" l="0" r="0" t="0"/>
                  <wp:docPr id="8287159" name="name60056a717cff4742c" descr="Fig._2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2.9.jpg"/>
                          <pic:cNvPicPr/>
                        </pic:nvPicPr>
                        <pic:blipFill>
                          <a:blip r:embed="rId49466a717cff474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2400" cy="291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图. 2.9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2.9.6 电子柴油泵（可选)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当电子油泵安装在发动机上时，必须：</w:t>
            </w:r>
          </w:p>
          <w:p>
            <w:pPr>
              <w:numPr>
                <w:ilvl w:val="0"/>
                <w:numId w:val="1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拿掉装在电子油泵进口的所有滤器；</w:t>
            </w:r>
          </w:p>
          <w:p>
            <w:pPr>
              <w:numPr>
                <w:ilvl w:val="0"/>
                <w:numId w:val="1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在油箱和电子油泵间装入一个预滤器；</w:t>
            </w:r>
          </w:p>
          <w:p>
            <w:pPr>
              <w:numPr>
                <w:ilvl w:val="0"/>
                <w:numId w:val="1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电子油泵可以装在油箱上最高500mm位置。</w:t>
            </w:r>
          </w:p>
          <w:p>
            <w:pPr>
              <w:numPr>
                <w:ilvl w:val="0"/>
                <w:numId w:val="1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装入一个截止阀来防止油箱没油时电子油泵干转；</w:t>
            </w:r>
          </w:p>
          <w:p>
            <w:pPr>
              <w:numPr>
                <w:ilvl w:val="0"/>
                <w:numId w:val="1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电子油泵提供的压力在喷油泵进口处不能超过0.2 bar。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表.  2.18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位置.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描述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油箱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油箱油管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预滤器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从预滤器到电子油泵油管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电子油泵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到燃油滤器油管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燃油滤器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4"/>
              </w:rPr>
              <w:drawing>
                <wp:inline distT="0" distB="0" distL="0" distR="0">
                  <wp:extent cx="2116800" cy="1404000"/>
                  <wp:effectExtent b="0" l="0" r="0" t="0"/>
                  <wp:docPr id="50256303" name="name82416a717cff4fae2" descr="Fig._2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2.10.jpg"/>
                          <pic:cNvPicPr/>
                        </pic:nvPicPr>
                        <pic:blipFill>
                          <a:blip r:embed="rId74386a717cff4fa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68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图. 2.10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
 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2.9.7 柴油喷射系统部件的保护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高压喷射系统部件都是对灰尘极其敏感的。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为了阻止灰尘在柴油进口或出口处聚集（甚至是极其细小的），当各种管路被拆开和断开时要求使用特殊的帽子盖住接口处。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不能在脏的环境拆卸任何的喷油系统的部件。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保护帽必须被密封在盒子里 </w:t>
            </w:r>
            <w:hyperlink r:id="rId71416a717cff503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(ST_40)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直到被拿出来使用。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使用保护帽时需要特别注意避免任何的灰尘污染或各种杂质。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使用保护帽时需要特别注意避免任何的灰尘污染或各种杂质。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甚至在这章里图解里使用了保护帽后，所有的喷射系统的部件必须放在没有任何杂质的环境里。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图. 2.11和2.12展示了保护帽必须被使用在喷油系统上。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使用保护帽后必须小心清洗并放回到盒子里 </w:t>
            </w:r>
            <w:hyperlink r:id="rId87636a717cff509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ST_40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687388" name="name97096a717cff52cd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226a717cff52c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重要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在拆卸柴油喷射系统部件的过程中极力推荐参考本页内容。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9600" cy="1533600"/>
                  <wp:effectExtent b="0" l="0" r="0" t="0"/>
                  <wp:docPr id="39638667" name="name59606a717cff5b515" descr="Fig._2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2.11.jpg"/>
                          <pic:cNvPicPr/>
                        </pic:nvPicPr>
                        <pic:blipFill>
                          <a:blip r:embed="rId89576a717cff5b5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图. 2.11</w:t>
            </w:r>
            <w:r>
              <w:rPr>
                <w:position w:val="-240"/>
              </w:rPr>
              <w:drawing>
                <wp:inline distT="0" distB="0" distL="0" distR="0">
                  <wp:extent cx="2332800" cy="1569600"/>
                  <wp:effectExtent b="0" l="0" r="0" t="0"/>
                  <wp:docPr id="1119892" name="name88146a717cff63d6a" descr="Fig._2.12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2.12_M.jpg"/>
                          <pic:cNvPicPr/>
                        </pic:nvPicPr>
                        <pic:blipFill>
                          <a:blip r:embed="rId28876a717cff63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800" cy="156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图. 2.12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电气系统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2.13.1 发动机线束（可选）</w:t>
                  </w:r>
                </w:p>
                <w:p>
                  <w:pPr>
                    <w:widowControl w:val="on"/>
                    <w:pBdr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br/>
                    <w:br/>
                    <w:t xml:space="preserve">注意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 :  该部件不一定由科勒公司提供。</w:t>
                  </w:r>
                </w:p>
                <w:p>
                  <w:pPr>
                    <w:widowControl w:val="on"/>
                    <w:pBdr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br/>
                    <w:t xml:space="preserve"> 线束按要求提供，它和控制屏通过19针接头连接（发动机控制屏上是母插头-附件是公插头）。</w:t>
                  </w:r>
                </w:p>
                <w:p>
                  <w:pPr>
                    <w:widowControl w:val="on"/>
                    <w:pBdr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 </w:t>
                  </w:r>
                </w:p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
表. 2.30描述了接头。</w:t>
                  </w:r>
                </w:p>
                <w:p>
                  <w:pPr>
                    <w:widowControl w:val="on"/>
                    <w:pBdr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position w:val="-229"/>
                    </w:rPr>
                    <w:drawing>
                      <wp:inline distT="0" distB="0" distL="0" distR="0">
                        <wp:extent cx="4752000" cy="2923200"/>
                        <wp:effectExtent b="0" l="0" r="0" t="0"/>
                        <wp:docPr id="78832756" name="name29466a717cff6b4d0" descr="Fig.2.25_ZH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.2.25_ZH.jpg"/>
                                <pic:cNvPicPr/>
                              </pic:nvPicPr>
                              <pic:blipFill>
                                <a:blip r:embed="rId63586a717cff6b4ce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52000" cy="29232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widowControl w:val="on"/>
                    <w:pBdr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br/>
                    <w:br/>
                    <w:br/>
                    <w:br/>
                    <w:br/>
                    <w:br/>
                    <w:br/>
                    <w:br/>
                    <w:br/>
                    <w:br/>
                    <w:t xml:space="preserve">图. 2.25</w:t>
                  </w:r>
                </w:p>
                <w:p/>
                <w:p/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62" w:lineRule="auto"/>
                    <w:ind w:left="0" w:right="0"/>
                    <w:jc w:val="left"/>
                    <w:textAlignment w:val="top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表.2.30</w:t>
                  </w:r>
                </w:p>
                <w:tbl>
                  <w:tblPr>
                    <w:tblStyle w:val="NormalTablePHPDOCX"/>
                    <w:tblCellMar>
                      <w:left w:type="dxa" w:w="0"/>
                      <w:right w:type="dxa" w:w="0"/>
                    </w:tblCellMar>
                    <w:tblW w:w="5000" w:type="pct"/>
                    <w:tblInd w:w="0" w:type="auto"/>
                    <w:tblBorders/>
                  </w:tblPr>
                  <w:tblGrid>
                    <w:gridCol w:w="1"/>
                    <w:gridCol w:w="1"/>
                  </w:tblGrid>
                  <w:tr>
                    <w:trPr>
                      <w:trHeight w:val="0" w:hRule="atLeast"/>
                    </w:trPr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00274C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center"/>
                        </w:pPr>
                        <w:r>
                          <w:rPr>
                            <w:b/>
                            <w:bCs/>
                            <w:color w:val="FFFFFF"/>
                            <w:position w:val="-2"/>
                            <w:sz w:val="20"/>
                            <w:szCs w:val="20"/>
                            <w:u w:val="none"/>
                            <w:shd w:val="clear" w:color="auto" w:fill="00274C"/>
                          </w:rPr>
                          <w:t xml:space="preserve">编号.</w:t>
                        </w:r>
                      </w:p>
                      <w:p/>
                    </w:tc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00274C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b/>
                            <w:bCs/>
                            <w:color w:val="FFFFFF"/>
                            <w:position w:val="-2"/>
                            <w:sz w:val="20"/>
                            <w:szCs w:val="20"/>
                            <w:u w:val="none"/>
                            <w:shd w:val="clear" w:color="auto" w:fill="00274C"/>
                          </w:rPr>
                          <w:t xml:space="preserve">描述</w:t>
                        </w:r>
                      </w:p>
                    </w:tc>
                  </w:tr>
                  <w:tr>
                    <w:trPr>
                      <w:trHeight w:val="0" w:hRule="atLeast"/>
                    </w:trPr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hd w:val="clear" w:color="auto" w:fill="E1E2E0"/>
                          <w:spacing w:before="0" w:after="0" w:line="262" w:lineRule="auto"/>
                          <w:ind w:left="0" w:right="0"/>
                          <w:jc w:val="left"/>
                          <w:textAlignment w:val="center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发动机控制屏接头界面(图. 2.26a)</w:t>
                        </w:r>
                      </w:p>
                    </w:tc>
                  </w:tr>
                  <w:tr>
                    <w:trPr>
                      <w:trHeight w:val="0" w:hRule="atLeast"/>
                    </w:trPr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附件接头界面 (图. 2.26b)</w:t>
                        </w:r>
                      </w:p>
                    </w:tc>
                  </w:tr>
                  <w:tr>
                    <w:trPr>
                      <w:trHeight w:val="0" w:hRule="atLeast"/>
                    </w:trPr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电子柴油泵接头</w:t>
                        </w:r>
                      </w:p>
                    </w:tc>
                  </w:tr>
                  <w:tr>
                    <w:trPr>
                      <w:trHeight w:val="0" w:hRule="atLeast"/>
                    </w:trPr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冷起动提前装置接头（喷油泵上-图. 2.39）</w:t>
                        </w:r>
                      </w:p>
                    </w:tc>
                  </w:tr>
                  <w:tr>
                    <w:trPr>
                      <w:trHeight w:val="0" w:hRule="atLeast"/>
                    </w:trPr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保险丝接头</w:t>
                        </w:r>
                      </w:p>
                    </w:tc>
                  </w:tr>
                  <w:tr>
                    <w:trPr>
                      <w:trHeight w:val="0" w:hRule="atLeast"/>
                    </w:trPr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电子停机接头（在喷油泵上）</w:t>
                        </w:r>
                      </w:p>
                    </w:tc>
                  </w:tr>
                  <w:tr>
                    <w:trPr>
                      <w:trHeight w:val="0" w:hRule="atLeast"/>
                    </w:trPr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"L" 充电机接头</w:t>
                        </w:r>
                      </w:p>
                    </w:tc>
                  </w:tr>
                  <w:tr>
                    <w:trPr>
                      <w:trHeight w:val="0" w:hRule="atLeast"/>
                    </w:trPr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"W" 充电机接头</w:t>
                        </w:r>
                      </w:p>
                    </w:tc>
                  </w:tr>
                  <w:tr>
                    <w:trPr>
                      <w:trHeight w:val="0" w:hRule="atLeast"/>
                    </w:trPr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充电机接头不带"W"</w:t>
                        </w:r>
                      </w:p>
                    </w:tc>
                  </w:tr>
                  <w:tr>
                    <w:trPr>
                      <w:trHeight w:val="0" w:hRule="atLeast"/>
                    </w:trPr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充电机接头带 "W"</w:t>
                        </w:r>
                      </w:p>
                    </w:tc>
                  </w:tr>
                  <w:tr>
                    <w:trPr>
                      <w:trHeight w:val="0" w:hRule="atLeast"/>
                    </w:trPr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冷却水温度传感器接头</w:t>
                        </w:r>
                      </w:p>
                    </w:tc>
                  </w:tr>
                  <w:tr>
                    <w:trPr>
                      <w:trHeight w:val="0" w:hRule="atLeast"/>
                    </w:trPr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机油压力传感器接头</w:t>
                        </w:r>
                      </w:p>
                    </w:tc>
                  </w:tr>
                  <w:tr>
                    <w:trPr>
                      <w:trHeight w:val="0" w:hRule="atLeast"/>
                    </w:trPr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起动马达接头 "+ 50"</w:t>
                        </w:r>
                      </w:p>
                    </w:tc>
                  </w:tr>
                  <w:tr>
                    <w:trPr>
                      <w:trHeight w:val="0" w:hRule="atLeast"/>
                    </w:trPr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起动马达接头 "+ 30"</w:t>
                        </w:r>
                      </w:p>
                    </w:tc>
                  </w:tr>
                  <w:tr>
                    <w:trPr>
                      <w:trHeight w:val="0" w:hRule="atLeast"/>
                    </w:trPr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空气滤清器阻塞传感器接头</w:t>
                        </w:r>
                      </w:p>
                    </w:tc>
                  </w:tr>
                  <w:tr>
                    <w:trPr>
                      <w:trHeight w:val="0" w:hRule="atLeast"/>
                    </w:trPr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FFFFFF" w:sz="5"/>
                          <w:left w:val="single" w:color="FFFFFF" w:sz="5"/>
                          <w:bottom w:val="single" w:color="FFFFFF" w:sz="5"/>
                          <w:right w:val="single" w:color="FFFFFF" w:sz="5"/>
                        </w:tcBorders>
                        <w:shd w:val="clear" w:color="auto" w:fill="E1E2E0"/>
                        <w:tcMar>
                          <w:top w:w="45" w:type="dxa"/>
                          <w:left w:w="75" w:type="dxa"/>
                          <w:bottom w:w="45" w:type="dxa"/>
                          <w:right w:w="75" w:type="dxa"/>
                        </w:tcMar>
                        <w:vAlign w:val="center"/>
                      </w:tcPr>
                      <w:p>
                        <w:pPr>
                          <w:widowControl w:val="on"/>
                          <w:pBdr/>
                          <w:spacing w:before="0" w:after="0" w:line="240" w:lineRule="auto"/>
                          <w:ind w:left="0" w:right="0"/>
                          <w:jc w:val="left"/>
                        </w:pPr>
                        <w:r>
                          <w:rPr>
                            <w:color w:val="00274C"/>
                            <w:position w:val="-2"/>
                            <w:sz w:val="20"/>
                            <w:szCs w:val="20"/>
                            <w:u w:val="none"/>
                            <w:shd w:val="clear" w:color="auto" w:fill="E1E2E0"/>
                          </w:rPr>
                          <w:t xml:space="preserve">接地接头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2.13.1.1 发动机/机器上的控制屏接头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接头是19针母插头。表. 2.31是所有的针脚连接清单。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10"/>
              </w:rPr>
              <w:drawing>
                <wp:inline distT="0" distB="0" distL="0" distR="0">
                  <wp:extent cx="2692800" cy="2692800"/>
                  <wp:effectExtent b="0" l="0" r="0" t="0"/>
                  <wp:docPr id="79662827" name="name70436a717cff7df75" descr="Fig._2.26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2.26a.jpg"/>
                          <pic:cNvPicPr/>
                        </pic:nvPicPr>
                        <pic:blipFill>
                          <a:blip r:embed="rId41906a717cff7df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800" cy="269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图. 2.26a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表. 2.31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针.</w:t>
                  </w:r>
                </w:p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控制屏输入信号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机油压力传感器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充电指示灯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冷却液温度告警灯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空气滤器阻塞告警灯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公共告警输出指示灯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停机电磁阀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充电机 (W)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起动马达 (+ 30)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公共告警输入指示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针.</w:t>
                  </w:r>
                </w:p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控制屏输入信号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接地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IG 励磁充电机 (+15)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起动马达 (+ 50)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加热器(继电器)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电子柴油泵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喷油泵 (冷启动提前 - 图. 2.39)</w:t>
                  </w:r>
                </w:p>
              </w:tc>
            </w:tr>
          </w:tbl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2.13.1.2 附件屏接头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接头是19针公插头。表. 2.32是所有的针脚连接清单。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4"/>
              </w:rPr>
              <w:drawing>
                <wp:inline distT="0" distB="0" distL="0" distR="0">
                  <wp:extent cx="2613600" cy="2613600"/>
                  <wp:effectExtent b="0" l="0" r="0" t="0"/>
                  <wp:docPr id="63915394" name="name88036a717cff8e8a7" descr="Fig._2.26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2.26b.jpg"/>
                          <pic:cNvPicPr/>
                        </pic:nvPicPr>
                        <pic:blipFill>
                          <a:blip r:embed="rId36086a717cff8e8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3600" cy="261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图. 2.26b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表. 2.32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针.</w:t>
                  </w:r>
                </w:p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控制屏输入信号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柴油滤清器 (水分检测传感器)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散热器 (冷却液位传感器)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公共告警输出指示灯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外部停机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公共告警输入指示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油箱 (柴油油位传感器)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针.</w:t>
                  </w:r>
                </w:p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控制屏输入信号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接地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带5A保险的继电器 (+ 15 )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加热器(继电器)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充电机 (W)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冷却液温度告警灯</w:t>
                  </w:r>
                </w:p>
              </w:tc>
            </w:tr>
          </w:tbl>
          <w:p/>
          <w:p/>
          <w:p/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2.13.1.3 线束拆卸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一些传感器接头和电子控制设备是密封的。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这种类型的接头必须通过压搭扣A或解锁固定锁环B来断开，如图. 2.26c到图. 2.26g所示。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72"/>
              </w:rPr>
              <w:drawing>
                <wp:inline distT="0" distB="0" distL="0" distR="0">
                  <wp:extent cx="2620800" cy="1764000"/>
                  <wp:effectExtent b="0" l="0" r="0" t="0"/>
                  <wp:docPr id="93031991" name="name86186a717cff9de67" descr="Fig._2.26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2.26c.jpg"/>
                          <pic:cNvPicPr/>
                        </pic:nvPicPr>
                        <pic:blipFill>
                          <a:blip r:embed="rId29046a717cff9de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0800" cy="176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图.  2.26c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38"/>
              </w:rPr>
              <w:drawing>
                <wp:inline distT="0" distB="0" distL="0" distR="0">
                  <wp:extent cx="2664000" cy="1792800"/>
                  <wp:effectExtent b="0" l="0" r="0" t="0"/>
                  <wp:docPr id="21137290" name="name37886a717cffa95e4" descr="Fig._2.26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2.26d.jpg"/>
                          <pic:cNvPicPr/>
                        </pic:nvPicPr>
                        <pic:blipFill>
                          <a:blip r:embed="rId45286a717cffa95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4000" cy="179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图.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2.26d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72"/>
              </w:rPr>
              <w:drawing>
                <wp:inline distT="0" distB="0" distL="0" distR="0">
                  <wp:extent cx="2635200" cy="1771200"/>
                  <wp:effectExtent b="0" l="0" r="0" t="0"/>
                  <wp:docPr id="48788504" name="name32056a717cffb4566" descr="Fig._2.26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2.26e.jpg"/>
                          <pic:cNvPicPr/>
                        </pic:nvPicPr>
                        <pic:blipFill>
                          <a:blip r:embed="rId51516a717cffb45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5200" cy="177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图.  2.26e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34"/>
              </w:rPr>
              <w:drawing>
                <wp:inline distT="0" distB="0" distL="0" distR="0">
                  <wp:extent cx="2592000" cy="1742400"/>
                  <wp:effectExtent b="0" l="0" r="0" t="0"/>
                  <wp:docPr id="54750099" name="name50406a717cffbffda" descr="Fig._2.26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2.26f.jpg"/>
                          <pic:cNvPicPr/>
                        </pic:nvPicPr>
                        <pic:blipFill>
                          <a:blip r:embed="rId19436a717cffbff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74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图.  2.26f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64"/>
              </w:rPr>
              <w:drawing>
                <wp:inline distT="0" distB="0" distL="0" distR="0">
                  <wp:extent cx="2548800" cy="1713600"/>
                  <wp:effectExtent b="0" l="0" r="0" t="0"/>
                  <wp:docPr id="20240623" name="name47706a717cffcb6d0" descr="Fig._2.26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2.26g.jpg"/>
                          <pic:cNvPicPr/>
                        </pic:nvPicPr>
                        <pic:blipFill>
                          <a:blip r:embed="rId96956a717cffcb6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800" cy="171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图.  2.26g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组件操纵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2.17.1 高压油泵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- 只能在 Y 标示点操纵。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禁止在 N 标示点操纵。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04"/>
              </w:rPr>
              <w:drawing>
                <wp:inline distT="0" distB="0" distL="0" distR="0">
                  <wp:extent cx="2304000" cy="3211200"/>
                  <wp:effectExtent b="0" l="0" r="0" t="0"/>
                  <wp:docPr id="94643035" name="name50976a717cffd7f15" descr="Fig._2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2.51.jpg"/>
                          <pic:cNvPicPr/>
                        </pic:nvPicPr>
                        <pic:blipFill>
                          <a:blip r:embed="rId70866a717cffd7f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321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图 2.56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2.17.2 喷油器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    只能在 Y 标示点操纵。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    禁止在 N 标示点操纵。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6765300" name="name41716a717cffe0ff8" descr="2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57.jpg"/>
                          <pic:cNvPicPr/>
                        </pic:nvPicPr>
                        <pic:blipFill>
                          <a:blip r:embed="rId65396a717cffe0f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图 2.57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2.17.4涡轮增压器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    只能在 Y 标示点操纵。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    禁止在 N 标示点操纵。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重要须知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参见第2.18段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1046113" name="name53926a717cffe9cbc" descr="2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58.jpg"/>
                          <pic:cNvPicPr/>
                        </pic:nvPicPr>
                        <pic:blipFill>
                          <a:blip r:embed="rId49566a717cffe9c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图 2.58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null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zh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zh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zh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zh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072">
    <w:multiLevelType w:val="hybridMultilevel"/>
    <w:lvl w:ilvl="0" w:tplc="84767322">
      <w:start w:val="1"/>
      <w:numFmt w:val="decimal"/>
      <w:lvlText w:val="%1."/>
      <w:lvlJc w:val="left"/>
      <w:pPr>
        <w:ind w:left="720" w:hanging="360"/>
      </w:pPr>
    </w:lvl>
    <w:lvl w:ilvl="1" w:tplc="84767322" w:tentative="1">
      <w:start w:val="1"/>
      <w:numFmt w:val="lowerLetter"/>
      <w:lvlText w:val="%2."/>
      <w:lvlJc w:val="left"/>
      <w:pPr>
        <w:ind w:left="1440" w:hanging="360"/>
      </w:pPr>
    </w:lvl>
    <w:lvl w:ilvl="2" w:tplc="84767322" w:tentative="1">
      <w:start w:val="1"/>
      <w:numFmt w:val="lowerRoman"/>
      <w:lvlText w:val="%3."/>
      <w:lvlJc w:val="right"/>
      <w:pPr>
        <w:ind w:left="2160" w:hanging="180"/>
      </w:pPr>
    </w:lvl>
    <w:lvl w:ilvl="3" w:tplc="84767322" w:tentative="1">
      <w:start w:val="1"/>
      <w:numFmt w:val="decimal"/>
      <w:lvlText w:val="%4."/>
      <w:lvlJc w:val="left"/>
      <w:pPr>
        <w:ind w:left="2880" w:hanging="360"/>
      </w:pPr>
    </w:lvl>
    <w:lvl w:ilvl="4" w:tplc="84767322" w:tentative="1">
      <w:start w:val="1"/>
      <w:numFmt w:val="lowerLetter"/>
      <w:lvlText w:val="%5."/>
      <w:lvlJc w:val="left"/>
      <w:pPr>
        <w:ind w:left="3600" w:hanging="360"/>
      </w:pPr>
    </w:lvl>
    <w:lvl w:ilvl="5" w:tplc="84767322" w:tentative="1">
      <w:start w:val="1"/>
      <w:numFmt w:val="lowerRoman"/>
      <w:lvlText w:val="%6."/>
      <w:lvlJc w:val="right"/>
      <w:pPr>
        <w:ind w:left="4320" w:hanging="180"/>
      </w:pPr>
    </w:lvl>
    <w:lvl w:ilvl="6" w:tplc="84767322" w:tentative="1">
      <w:start w:val="1"/>
      <w:numFmt w:val="decimal"/>
      <w:lvlText w:val="%7."/>
      <w:lvlJc w:val="left"/>
      <w:pPr>
        <w:ind w:left="5040" w:hanging="360"/>
      </w:pPr>
    </w:lvl>
    <w:lvl w:ilvl="7" w:tplc="84767322" w:tentative="1">
      <w:start w:val="1"/>
      <w:numFmt w:val="lowerLetter"/>
      <w:lvlText w:val="%8."/>
      <w:lvlJc w:val="left"/>
      <w:pPr>
        <w:ind w:left="5760" w:hanging="360"/>
      </w:pPr>
    </w:lvl>
    <w:lvl w:ilvl="8" w:tplc="847673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1">
    <w:multiLevelType w:val="hybridMultilevel"/>
    <w:lvl w:ilvl="0" w:tplc="66356827">
      <w:start w:val="1"/>
      <w:numFmt w:val="decimal"/>
      <w:lvlText w:val="%1."/>
      <w:lvlJc w:val="left"/>
      <w:pPr>
        <w:ind w:left="720" w:hanging="360"/>
      </w:pPr>
    </w:lvl>
    <w:lvl w:ilvl="1" w:tplc="66356827" w:tentative="1">
      <w:start w:val="1"/>
      <w:numFmt w:val="lowerLetter"/>
      <w:lvlText w:val="%2."/>
      <w:lvlJc w:val="left"/>
      <w:pPr>
        <w:ind w:left="1440" w:hanging="360"/>
      </w:pPr>
    </w:lvl>
    <w:lvl w:ilvl="2" w:tplc="66356827" w:tentative="1">
      <w:start w:val="1"/>
      <w:numFmt w:val="lowerRoman"/>
      <w:lvlText w:val="%3."/>
      <w:lvlJc w:val="right"/>
      <w:pPr>
        <w:ind w:left="2160" w:hanging="180"/>
      </w:pPr>
    </w:lvl>
    <w:lvl w:ilvl="3" w:tplc="66356827" w:tentative="1">
      <w:start w:val="1"/>
      <w:numFmt w:val="decimal"/>
      <w:lvlText w:val="%4."/>
      <w:lvlJc w:val="left"/>
      <w:pPr>
        <w:ind w:left="2880" w:hanging="360"/>
      </w:pPr>
    </w:lvl>
    <w:lvl w:ilvl="4" w:tplc="66356827" w:tentative="1">
      <w:start w:val="1"/>
      <w:numFmt w:val="lowerLetter"/>
      <w:lvlText w:val="%5."/>
      <w:lvlJc w:val="left"/>
      <w:pPr>
        <w:ind w:left="3600" w:hanging="360"/>
      </w:pPr>
    </w:lvl>
    <w:lvl w:ilvl="5" w:tplc="66356827" w:tentative="1">
      <w:start w:val="1"/>
      <w:numFmt w:val="lowerRoman"/>
      <w:lvlText w:val="%6."/>
      <w:lvlJc w:val="right"/>
      <w:pPr>
        <w:ind w:left="4320" w:hanging="180"/>
      </w:pPr>
    </w:lvl>
    <w:lvl w:ilvl="6" w:tplc="66356827" w:tentative="1">
      <w:start w:val="1"/>
      <w:numFmt w:val="decimal"/>
      <w:lvlText w:val="%7."/>
      <w:lvlJc w:val="left"/>
      <w:pPr>
        <w:ind w:left="5040" w:hanging="360"/>
      </w:pPr>
    </w:lvl>
    <w:lvl w:ilvl="7" w:tplc="66356827" w:tentative="1">
      <w:start w:val="1"/>
      <w:numFmt w:val="lowerLetter"/>
      <w:lvlText w:val="%8."/>
      <w:lvlJc w:val="left"/>
      <w:pPr>
        <w:ind w:left="5760" w:hanging="360"/>
      </w:pPr>
    </w:lvl>
    <w:lvl w:ilvl="8" w:tplc="663568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0">
    <w:multiLevelType w:val="hybridMultilevel"/>
    <w:lvl w:ilvl="0" w:tplc="938041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070">
    <w:abstractNumId w:val="1070"/>
  </w:num>
  <w:num w:numId="1071">
    <w:abstractNumId w:val="1071"/>
  </w:num>
  <w:num w:numId="1072">
    <w:abstractNumId w:val="10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21227955" Type="http://schemas.openxmlformats.org/officeDocument/2006/relationships/comments" Target="comments.xml"/><Relationship Id="rId712787991" Type="http://schemas.microsoft.com/office/2011/relationships/commentsExtended" Target="commentsExtended.xml"/><Relationship Id="rId70366717" Type="http://schemas.openxmlformats.org/officeDocument/2006/relationships/image" Target="media/imgrId70366717.jpg"/><Relationship Id="rId77746a717cff20b12" Type="http://schemas.openxmlformats.org/officeDocument/2006/relationships/hyperlink" Target="https://iservice.lombardini.it/jsp/Template2/manuale.jsp?id=277&amp;parent=1136" TargetMode="External"/><Relationship Id="rId71416a717cff50321" Type="http://schemas.openxmlformats.org/officeDocument/2006/relationships/hyperlink" Target="https://iservice.lombardini.it/jsp/Template2/manuale.jsp?id=339&amp;parent=1136" TargetMode="External"/><Relationship Id="rId87636a717cff509b5" Type="http://schemas.openxmlformats.org/officeDocument/2006/relationships/hyperlink" Target="https://iservice.lombardini.it/jsp/Template2/manuale.jsp?id=339&amp;parent=1136" TargetMode="External"/><Relationship Id="rId43766a717cfeb0a17" Type="http://schemas.openxmlformats.org/officeDocument/2006/relationships/image" Target="media/imgrId43766a717cfeb0a17.jpg"/><Relationship Id="rId52376a717cfeb3da1" Type="http://schemas.openxmlformats.org/officeDocument/2006/relationships/image" Target="media/imgrId52376a717cfeb3da1.jpg"/><Relationship Id="rId41696a717cfeb8299" Type="http://schemas.openxmlformats.org/officeDocument/2006/relationships/image" Target="media/imgrId41696a717cfeb8299.jpg"/><Relationship Id="rId77116a717cfebe9f9" Type="http://schemas.openxmlformats.org/officeDocument/2006/relationships/image" Target="media/imgrId77116a717cfebe9f9.jpg"/><Relationship Id="rId32616a717cfec6529" Type="http://schemas.openxmlformats.org/officeDocument/2006/relationships/image" Target="media/imgrId32616a717cfec6529.jpg"/><Relationship Id="rId91746a717cfecd20a" Type="http://schemas.openxmlformats.org/officeDocument/2006/relationships/image" Target="media/imgrId91746a717cfecd20a.jpg"/><Relationship Id="rId14046a717cfed54dc" Type="http://schemas.openxmlformats.org/officeDocument/2006/relationships/image" Target="media/imgrId14046a717cfed54dc.png"/><Relationship Id="rId86016a717cfedc868" Type="http://schemas.openxmlformats.org/officeDocument/2006/relationships/image" Target="media/imgrId86016a717cfedc868.png"/><Relationship Id="rId20146a717cfee37af" Type="http://schemas.openxmlformats.org/officeDocument/2006/relationships/image" Target="media/imgrId20146a717cfee37af.jpg"/><Relationship Id="rId22116a717cfeeb3bb" Type="http://schemas.openxmlformats.org/officeDocument/2006/relationships/image" Target="media/imgrId22116a717cfeeb3bb.jpg"/><Relationship Id="rId50786a717cfef37fc" Type="http://schemas.openxmlformats.org/officeDocument/2006/relationships/image" Target="media/imgrId50786a717cfef37fc.jpg"/><Relationship Id="rId56626a717cff05098" Type="http://schemas.openxmlformats.org/officeDocument/2006/relationships/image" Target="media/imgrId56626a717cff05098.png"/><Relationship Id="rId18096a717cff0ba5d" Type="http://schemas.openxmlformats.org/officeDocument/2006/relationships/image" Target="media/imgrId18096a717cff0ba5d.jpg"/><Relationship Id="rId94186a717cff14662" Type="http://schemas.openxmlformats.org/officeDocument/2006/relationships/image" Target="media/imgrId94186a717cff14662.jpg"/><Relationship Id="rId48406a717cff2070c" Type="http://schemas.openxmlformats.org/officeDocument/2006/relationships/image" Target="media/imgrId48406a717cff2070c.jpg"/><Relationship Id="rId17136a717cff2a18d" Type="http://schemas.openxmlformats.org/officeDocument/2006/relationships/image" Target="media/imgrId17136a717cff2a18d.jpg"/><Relationship Id="rId20766a717cff310fa" Type="http://schemas.openxmlformats.org/officeDocument/2006/relationships/image" Target="media/imgrId20766a717cff310fa.jpg"/><Relationship Id="rId76626a717cff35aef" Type="http://schemas.openxmlformats.org/officeDocument/2006/relationships/image" Target="media/imgrId76626a717cff35aef.jpg"/><Relationship Id="rId76606a717cff3c97a" Type="http://schemas.openxmlformats.org/officeDocument/2006/relationships/image" Target="media/imgrId76606a717cff3c97a.jpg"/><Relationship Id="rId49466a717cff4742a" Type="http://schemas.openxmlformats.org/officeDocument/2006/relationships/image" Target="media/imgrId49466a717cff4742a.jpg"/><Relationship Id="rId74386a717cff4fae0" Type="http://schemas.openxmlformats.org/officeDocument/2006/relationships/image" Target="media/imgrId74386a717cff4fae0.jpg"/><Relationship Id="rId28226a717cff52cda" Type="http://schemas.openxmlformats.org/officeDocument/2006/relationships/image" Target="media/imgrId28226a717cff52cda.jpg"/><Relationship Id="rId89576a717cff5b513" Type="http://schemas.openxmlformats.org/officeDocument/2006/relationships/image" Target="media/imgrId89576a717cff5b513.jpg"/><Relationship Id="rId28876a717cff63d67" Type="http://schemas.openxmlformats.org/officeDocument/2006/relationships/image" Target="media/imgrId28876a717cff63d67.jpg"/><Relationship Id="rId63586a717cff6b4ce" Type="http://schemas.openxmlformats.org/officeDocument/2006/relationships/image" Target="media/imgrId63586a717cff6b4ce.jpg"/><Relationship Id="rId41906a717cff7df73" Type="http://schemas.openxmlformats.org/officeDocument/2006/relationships/image" Target="media/imgrId41906a717cff7df73.jpg"/><Relationship Id="rId36086a717cff8e8a5" Type="http://schemas.openxmlformats.org/officeDocument/2006/relationships/image" Target="media/imgrId36086a717cff8e8a5.jpg"/><Relationship Id="rId29046a717cff9de65" Type="http://schemas.openxmlformats.org/officeDocument/2006/relationships/image" Target="media/imgrId29046a717cff9de65.jpg"/><Relationship Id="rId45286a717cffa95e2" Type="http://schemas.openxmlformats.org/officeDocument/2006/relationships/image" Target="media/imgrId45286a717cffa95e2.jpg"/><Relationship Id="rId51516a717cffb4564" Type="http://schemas.openxmlformats.org/officeDocument/2006/relationships/image" Target="media/imgrId51516a717cffb4564.jpg"/><Relationship Id="rId19436a717cffbffd7" Type="http://schemas.openxmlformats.org/officeDocument/2006/relationships/image" Target="media/imgrId19436a717cffbffd7.jpg"/><Relationship Id="rId96956a717cffcb6cd" Type="http://schemas.openxmlformats.org/officeDocument/2006/relationships/image" Target="media/imgrId96956a717cffcb6cd.jpg"/><Relationship Id="rId70866a717cffd7f12" Type="http://schemas.openxmlformats.org/officeDocument/2006/relationships/image" Target="media/imgrId70866a717cffd7f12.jpg"/><Relationship Id="rId65396a717cffe0ff5" Type="http://schemas.openxmlformats.org/officeDocument/2006/relationships/image" Target="media/imgrId65396a717cffe0ff5.jpg"/><Relationship Id="rId49566a717cffe9cba" Type="http://schemas.openxmlformats.org/officeDocument/2006/relationships/image" Target="media/imgrId49566a717cffe9cba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366717" Type="http://schemas.openxmlformats.org/officeDocument/2006/relationships/image" Target="media/imgrId7036671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366717" Type="http://schemas.openxmlformats.org/officeDocument/2006/relationships/image" Target="media/imgrId7036671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366717" Type="http://schemas.openxmlformats.org/officeDocument/2006/relationships/image" Target="media/imgrId7036671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366717" Type="http://schemas.openxmlformats.org/officeDocument/2006/relationships/image" Target="media/imgrId7036671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366717" Type="http://schemas.openxmlformats.org/officeDocument/2006/relationships/image" Target="media/imgrId7036671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366717" Type="http://schemas.openxmlformats.org/officeDocument/2006/relationships/image" Target="media/imgrId7036671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