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Workshop Manual (Rev. 10.4)</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74800549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50369091"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16737011" w:name="ctxt"/>
    <w:bookmarkEnd w:id="16737011"/>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2199"/>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199"/>
        </w:numPr>
        <w:spacing w:before="0" w:after="0" w:line="240" w:lineRule="auto"/>
        <w:jc w:val="left"/>
        <w:rPr>
          <w:color w:val="00274C"/>
          <w:sz w:val="20"/>
          <w:szCs w:val="20"/>
        </w:rPr>
      </w:pPr>
      <w:bookmarkStart w:id="85569165" w:name="result_box"/>
      <w:bookmarkEnd w:id="85569165"/>
      <w:r>
        <w:rPr>
          <w:color w:val="00274C"/>
          <w:sz w:val="20"/>
          <w:szCs w:val="20"/>
          <w:u w:val="none"/>
        </w:rPr>
        <w:t xml:space="preserve">Information,</w:t>
      </w:r>
      <w:r>
        <w:rPr>
          <w:color w:val="00274C"/>
          <w:sz w:val="20"/>
          <w:szCs w:val="20"/>
          <w:u w:val="none"/>
        </w:rPr>
        <w:t xml:space="preserve"> </w:t>
      </w:r>
      <w:r>
        <w:rPr>
          <w:color w:val="00274C"/>
          <w:sz w:val="20"/>
          <w:szCs w:val="20"/>
          <w:u w:val="none"/>
        </w:rPr>
        <w:t xml:space="preserve">descriptions and pictures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hyperlink r:id="rId85656a74bd9cd7fbe" w:history="1">
        <w:r>
          <w:rPr>
            <w:rStyle w:val="DefaultParagraphFontPHPDOCX"/>
            <w:b/>
            <w:bCs/>
            <w:color w:val="0000FF"/>
            <w:sz w:val="20"/>
            <w:szCs w:val="20"/>
            <w:u w:val="none"/>
          </w:rPr>
          <w:t xml:space="preserve">Par. 1.4</w:t>
        </w:r>
      </w:hyperlink>
      <w:r>
        <w:rPr>
          <w:color w:val="00274C"/>
          <w:sz w:val="20"/>
          <w:szCs w:val="20"/>
          <w:u w:val="none"/>
        </w:rPr>
        <w:t xml:space="preserve"> and </w:t>
      </w:r>
      <w:hyperlink r:id="rId77896a74bd9cd8076" w:history="1">
        <w:r>
          <w:rPr>
            <w:rStyle w:val="DefaultParagraphFontPHPDOCX"/>
            <w:b/>
            <w:bCs/>
            <w:color w:val="0000FF"/>
            <w:sz w:val="20"/>
            <w:szCs w:val="20"/>
            <w:u w:val="none"/>
          </w:rPr>
          <w:t xml:space="preserve">Par. 1.5</w:t>
        </w:r>
      </w:hyperlink>
      <w:r>
        <w:rPr>
          <w:color w:val="00274C"/>
          <w:sz w:val="20"/>
          <w:szCs w:val="20"/>
          <w:u w:val="none"/>
        </w:rPr>
        <w:t xml:space="preserve"> ).</w:t>
      </w:r>
    </w:p>
    <w:p>
      <w:pPr>
        <w:numPr>
          <w:ilvl w:val="0"/>
          <w:numId w:val="2199"/>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2199"/>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2199"/>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numPr>
          <w:ilvl w:val="0"/>
          <w:numId w:val="2199"/>
        </w:numPr>
        <w:spacing w:before="0" w:after="0" w:line="240" w:lineRule="auto"/>
        <w:jc w:val="left"/>
        <w:rPr>
          <w:color w:val="00274C"/>
          <w:sz w:val="20"/>
          <w:szCs w:val="20"/>
        </w:rPr>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2199"/>
        </w:numPr>
        <w:spacing w:before="0" w:after="0" w:line="240" w:lineRule="auto"/>
        <w:jc w:val="left"/>
        <w:rPr>
          <w:color w:val="00274C"/>
          <w:sz w:val="20"/>
          <w:szCs w:val="20"/>
        </w:rPr>
      </w:pPr>
      <w:r>
        <w:rPr>
          <w:color w:val="00274C"/>
          <w:sz w:val="20"/>
          <w:szCs w:val="20"/>
          <w:u w:val="none"/>
        </w:rPr>
        <w:t xml:space="preserve">All technical terms, specific components and symbols ( </w:t>
      </w:r>
      <w:hyperlink r:id="rId31356a74bd9cd8d81" w:history="1">
        <w:r>
          <w:rPr>
            <w:rStyle w:val="DefaultParagraphFontPHPDOCX"/>
            <w:b/>
            <w:bCs/>
            <w:color w:val="0000FF"/>
            <w:sz w:val="20"/>
            <w:szCs w:val="20"/>
            <w:u w:val="single" w:color=""/>
          </w:rPr>
          <w:t xml:space="preserve">Tab. 15.1</w:t>
        </w:r>
      </w:hyperlink>
      <w:r>
        <w:rPr>
          <w:color w:val="00274C"/>
          <w:sz w:val="20"/>
          <w:szCs w:val="20"/>
          <w:u w:val="none"/>
        </w:rPr>
        <w:t xml:space="preserve"> ) that are in the manual are listed and described inside the glossary, which can be consulted in ( </w:t>
      </w:r>
      <w:hyperlink r:id="rId41476a74bd9cd8e1f" w:history="1">
        <w:r>
          <w:rPr>
            <w:rStyle w:val="DefaultParagraphFontPHPDOCX"/>
            <w:b/>
            <w:bCs/>
            <w:color w:val="0000FF"/>
            <w:sz w:val="20"/>
            <w:szCs w:val="20"/>
            <w:u w:val="none"/>
          </w:rPr>
          <w:t xml:space="preserve">Chap. 15</w:t>
        </w:r>
      </w:hyperlink>
      <w:r>
        <w:rPr>
          <w:color w:val="00274C"/>
          <w:sz w:val="20"/>
          <w:szCs w:val="20"/>
          <w:u w:val="none"/>
        </w:rPr>
        <w:t xml:space="preserve"> ).</w:t>
      </w:r>
    </w:p>
    <w:p>
      <w:pPr>
        <w:numPr>
          <w:ilvl w:val="0"/>
          <w:numId w:val="2199"/>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2199"/>
        </w:numPr>
        <w:spacing w:before="0" w:after="0" w:line="240" w:lineRule="auto"/>
        <w:jc w:val="left"/>
        <w:rPr>
          <w:color w:val="00274C"/>
          <w:sz w:val="20"/>
          <w:szCs w:val="20"/>
        </w:rPr>
      </w:pPr>
      <w:r>
        <w:rPr>
          <w:color w:val="00274C"/>
          <w:sz w:val="20"/>
          <w:szCs w:val="20"/>
          <w:u w:val="none"/>
        </w:rPr>
        <w:t xml:space="preserve">Reference to values are indicated by letters or numbers. </w:t>
      </w:r>
    </w:p>
    <w:p>
      <w:pPr>
        <w:numPr>
          <w:ilvl w:val="0"/>
          <w:numId w:val="2199"/>
        </w:numPr>
        <w:spacing w:before="0" w:after="0" w:line="240" w:lineRule="auto"/>
        <w:jc w:val="left"/>
        <w:rPr>
          <w:color w:val="00274C"/>
          <w:sz w:val="20"/>
          <w:szCs w:val="20"/>
        </w:rPr>
      </w:pPr>
      <w:r>
        <w:rPr>
          <w:color w:val="00274C"/>
          <w:sz w:val="20"/>
          <w:szCs w:val="20"/>
          <w:u w:val="none"/>
        </w:rPr>
        <w:br/>
        <w:t xml:space="preserve">Other important references are highlighted in red.</w:t>
      </w:r>
    </w:p>
    <w:p>
      <w:pPr>
        <w:numPr>
          <w:ilvl w:val="0"/>
          <w:numId w:val="2199"/>
        </w:numPr>
        <w:spacing w:before="0" w:after="0" w:line="240" w:lineRule="auto"/>
        <w:jc w:val="left"/>
        <w:rPr>
          <w:color w:val="00274C"/>
          <w:sz w:val="20"/>
          <w:szCs w:val="20"/>
        </w:rPr>
      </w:pPr>
      <w:r>
        <w:rPr>
          <w:color w:val="00274C"/>
          <w:sz w:val="20"/>
          <w:szCs w:val="20"/>
          <w:u w:val="none"/>
        </w:rPr>
        <w:t xml:space="preserve">The mark ( </w:t>
      </w:r>
      <w:r>
        <w:drawing>
          <wp:inline distT="0" distB="0" distL="0" distR="0">
            <wp:extent cx="158400" cy="115200"/>
            <wp:effectExtent b="0" l="0" r="0" t="0"/>
            <wp:docPr id="80101666" name="name44176a74bd9ce0617" descr="operazione_uti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azione_utile.gif"/>
                    <pic:cNvPicPr/>
                  </pic:nvPicPr>
                  <pic:blipFill>
                    <a:blip r:embed="rId80646a74bd9ce0615" cstate="print"/>
                    <a:stretch>
                      <a:fillRect/>
                    </a:stretch>
                  </pic:blipFill>
                  <pic:spPr>
                    <a:xfrm>
                      <a:off x="0" y="0"/>
                      <a:ext cx="158400" cy="115200"/>
                    </a:xfrm>
                    <a:prstGeom prst="rect">
                      <a:avLst/>
                    </a:prstGeom>
                    <a:ln w="0">
                      <a:noFill/>
                    </a:ln>
                  </pic:spPr>
                </pic:pic>
              </a:graphicData>
            </a:graphic>
          </wp:inline>
        </w:drawing>
      </w:r>
      <w:r>
        <w:rPr>
          <w:color w:val="00274C"/>
          <w:sz w:val="20"/>
          <w:szCs w:val="20"/>
          <w:u w:val="none"/>
        </w:rPr>
        <w:t xml:space="preserve"> ) after the title of a paragraph, indicates that the procedure is not required in order to disassemble the engine, however the procedures are featured in order to illustrate the disassembly of components.</w:t>
      </w:r>
    </w:p>
    <w:p>
      <w:pPr>
        <w:numPr>
          <w:ilvl w:val="0"/>
          <w:numId w:val="2199"/>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2199"/>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80738422" w:name="result_box"/>
      <w:bookmarkEnd w:id="80738422"/>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24672176" w:name="result_box"/>
      <w:bookmarkEnd w:id="24672176"/>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21474423" w:name="result_box"/>
      <w:bookmarkEnd w:id="21474423"/>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2199"/>
        </w:numPr>
        <w:spacing w:before="0" w:after="0" w:line="240" w:lineRule="auto"/>
        <w:jc w:val="left"/>
        <w:rPr>
          <w:color w:val="00274C"/>
          <w:sz w:val="20"/>
          <w:szCs w:val="20"/>
        </w:rPr>
      </w:pPr>
      <w:bookmarkStart w:id="53027099" w:name="result_box"/>
      <w:bookmarkEnd w:id="53027099"/>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motor</w:t>
      </w:r>
      <w:r>
        <w:rPr>
          <w:color w:val="00274C"/>
          <w:sz w:val="20"/>
          <w:szCs w:val="20"/>
          <w:u w:val="none"/>
        </w:rPr>
        <w:t xml:space="preserve"> , </w:t>
      </w:r>
      <w:r>
        <w:rPr>
          <w:color w:val="00274C"/>
          <w:sz w:val="20"/>
          <w:szCs w:val="20"/>
          <w:u w:val="none"/>
        </w:rPr>
        <w:t xml:space="preserve">read the entire</w:t>
      </w:r>
      <w:r>
        <w:rPr>
          <w:color w:val="00274C"/>
          <w:sz w:val="20"/>
          <w:szCs w:val="20"/>
          <w:u w:val="none"/>
        </w:rPr>
        <w:t xml:space="preserve"> </w:t>
      </w:r>
      <w:hyperlink r:id="rId36226a74bd9ce1372" w:history="1">
        <w:r>
          <w:rPr>
            <w:rStyle w:val="DefaultParagraphFontPHPDOCX"/>
            <w:b/>
            <w:bCs/>
            <w:color w:val="0000FF"/>
            <w:sz w:val="20"/>
            <w:szCs w:val="20"/>
            <w:u w:val="none"/>
          </w:rPr>
          <w:t xml:space="preserve">Chap. 3</w:t>
        </w:r>
      </w:hyperlink>
      <w:r>
        <w:rPr>
          <w:color w:val="00274C"/>
          <w:sz w:val="20"/>
          <w:szCs w:val="20"/>
          <w:u w:val="none"/>
        </w:rPr>
        <w:t xml:space="preserve"> </w:t>
      </w:r>
      <w:bookmarkStart w:id="50139287" w:name="result_box"/>
      <w:bookmarkEnd w:id="50139287"/>
      <w:r>
        <w:rPr>
          <w:color w:val="00274C"/>
          <w:sz w:val="20"/>
          <w:szCs w:val="20"/>
          <w:u w:val="none"/>
        </w:rPr>
        <w:t xml:space="preserve">,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about the procedures</w:t>
      </w:r>
      <w:r>
        <w:rPr>
          <w:color w:val="00274C"/>
          <w:sz w:val="20"/>
          <w:szCs w:val="20"/>
          <w:u w:val="none"/>
        </w:rPr>
        <w:t xml:space="preserve"> </w:t>
      </w:r>
      <w:r>
        <w:rPr>
          <w:color w:val="00274C"/>
          <w:sz w:val="20"/>
          <w:szCs w:val="20"/>
          <w:u w:val="none"/>
        </w:rPr>
        <w:t xml:space="preserve">to be followed for</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p>
      <w:pPr>
        <w:widowControl w:val="on"/>
        <w:pBdr/>
        <w:spacing w:before="0" w:after="0" w:line="262" w:lineRule="auto"/>
        <w:ind w:left="0" w:right="0"/>
        <w:jc w:val="left"/>
      </w:pPr>
      <w:r>
        <w:rPr>
          <w:color w:val="00274C"/>
          <w:sz w:val="20"/>
          <w:szCs w:val="20"/>
          <w:u w:val="none"/>
        </w:rPr>
        <w:t xml:space="preserve">The engine identification name plate is situated in the lower part of the crankcase; it is visible from the intake or exhaust side.</w:t>
      </w:r>
    </w:p>
    <w:p>
      <w:pPr>
        <w:widowControl w:val="on"/>
        <w:pBdr/>
        <w:spacing w:before="225" w:after="225" w:line="262" w:lineRule="auto"/>
        <w:ind w:left="0" w:right="0"/>
        <w:jc w:val="left"/>
      </w:pPr>
      <w:r>
        <w:drawing>
          <wp:inline distT="0" distB="0" distL="0" distR="0">
            <wp:extent cx="5544000" cy="3124800"/>
            <wp:effectExtent b="0" l="0" r="0" t="0"/>
            <wp:docPr id="26458110" name="name90256a74bd9cf2b35" descr="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png"/>
                    <pic:cNvPicPr/>
                  </pic:nvPicPr>
                  <pic:blipFill>
                    <a:blip r:embed="rId87176a74bd9cf2b33" cstate="print"/>
                    <a:stretch>
                      <a:fillRect/>
                    </a:stretch>
                  </pic:blipFill>
                  <pic:spPr>
                    <a:xfrm>
                      <a:off x="0" y="0"/>
                      <a:ext cx="5544000" cy="3124800"/>
                    </a:xfrm>
                    <a:prstGeom prst="rect">
                      <a:avLst/>
                    </a:prstGeom>
                    <a:ln w="0">
                      <a:noFill/>
                    </a:ln>
                  </pic:spPr>
                </pic:pic>
              </a:graphicData>
            </a:graphic>
          </wp:inline>
        </w:drawing>
      </w:r>
      <w:r>
        <w:rPr>
          <w:b/>
          <w:bCs/>
          <w:color w:val="00274C"/>
          <w:sz w:val="20"/>
          <w:szCs w:val="20"/>
          <w:u w:val="none"/>
        </w:rPr>
        <w:br/>
        <w:br/>
        <w:t xml:space="preserve">Fig 1.1</w:t>
      </w:r>
      <w:r>
        <w:rPr>
          <w:color w:val="00274C"/>
          <w:sz w:val="20"/>
          <w:szCs w:val="20"/>
          <w:u w:val="none"/>
        </w:rPr>
        <w:t xml:space="preserve"> - </w:t>
      </w:r>
      <w:r>
        <w:rPr>
          <w:b/>
          <w:bCs/>
          <w:color w:val="00274C"/>
          <w:sz w:val="20"/>
          <w:szCs w:val="20"/>
          <w:u w:val="none"/>
        </w:rPr>
        <w:t xml:space="preserve">Fig 1.2</w:t>
      </w:r>
    </w:p>
    <w:p>
      <w:pPr>
        <w:widowControl w:val="on"/>
        <w:pBdr/>
        <w:spacing w:before="0" w:after="0" w:line="262" w:lineRule="auto"/>
        <w:ind w:left="0" w:right="0"/>
        <w:jc w:val="left"/>
      </w:pPr>
      <w:r>
        <w:rPr>
          <w:color w:val="00274C"/>
          <w:sz w:val="20"/>
          <w:szCs w:val="20"/>
          <w:u w:val="none"/>
        </w:rPr>
        <w:t xml:space="preserve"> </w:t>
      </w:r>
    </w:p>
    <w:p>
      <w:r>
        <w:drawing>
          <wp:inline distT="0" distB="0" distL="0" distR="0">
            <wp:extent cx="5544000" cy="1922400"/>
            <wp:effectExtent b="0" l="0" r="0" t="0"/>
            <wp:docPr id="4317168" name="name62136a74bd9d0b580" descr="1.3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EN.png"/>
                    <pic:cNvPicPr/>
                  </pic:nvPicPr>
                  <pic:blipFill>
                    <a:blip r:embed="rId64846a74bd9d0b57d" cstate="print"/>
                    <a:stretch>
                      <a:fillRect/>
                    </a:stretch>
                  </pic:blipFill>
                  <pic:spPr>
                    <a:xfrm>
                      <a:off x="0" y="0"/>
                      <a:ext cx="5544000" cy="1922400"/>
                    </a:xfrm>
                    <a:prstGeom prst="rect">
                      <a:avLst/>
                    </a:prstGeom>
                    <a:ln w="0">
                      <a:noFill/>
                    </a:ln>
                  </pic:spPr>
                </pic:pic>
              </a:graphicData>
            </a:graphic>
          </wp:inline>
        </w:drawing>
      </w:r>
      <w:r>
        <w:rPr>
          <w:b/>
          <w:bCs/>
          <w:color w:val="00274C"/>
          <w:sz w:val="20"/>
          <w:szCs w:val="20"/>
          <w:u w:val="none"/>
        </w:rPr>
        <w:br/>
        <w:t xml:space="preserve">Fig 1.3</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363"/>
              </w:rPr>
              <w:drawing>
                <wp:inline distT="0" distB="0" distL="0" distR="0">
                  <wp:extent cx="5040000" cy="4586400"/>
                  <wp:effectExtent b="0" l="0" r="0" t="0"/>
                  <wp:docPr id="92826057" name="name48396a74bd9d16d86" descr="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jpg"/>
                          <pic:cNvPicPr/>
                        </pic:nvPicPr>
                        <pic:blipFill>
                          <a:blip r:embed="rId66836a74bd9d16d84" cstate="print"/>
                          <a:stretch>
                            <a:fillRect/>
                          </a:stretch>
                        </pic:blipFill>
                        <pic:spPr>
                          <a:xfrm>
                            <a:off x="0" y="0"/>
                            <a:ext cx="5040000" cy="45864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361"/>
              </w:rPr>
              <w:drawing>
                <wp:inline distT="0" distB="0" distL="0" distR="0">
                  <wp:extent cx="5040000" cy="4564800"/>
                  <wp:effectExtent b="0" l="0" r="0" t="0"/>
                  <wp:docPr id="44391201" name="name85916a74bd9d24848" descr="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jpg"/>
                          <pic:cNvPicPr/>
                        </pic:nvPicPr>
                        <pic:blipFill>
                          <a:blip r:embed="rId65286a74bd9d24845" cstate="print"/>
                          <a:stretch>
                            <a:fillRect/>
                          </a:stretch>
                        </pic:blipFill>
                        <pic:spPr>
                          <a:xfrm>
                            <a:off x="0" y="0"/>
                            <a:ext cx="5040000" cy="45648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339"/>
              </w:rPr>
              <w:drawing>
                <wp:inline distT="0" distB="0" distL="0" distR="0">
                  <wp:extent cx="5040000" cy="4291200"/>
                  <wp:effectExtent b="0" l="0" r="0" t="0"/>
                  <wp:docPr id="42887804" name="name76366a74bd9d35813" descr="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jpg"/>
                          <pic:cNvPicPr/>
                        </pic:nvPicPr>
                        <pic:blipFill>
                          <a:blip r:embed="rId54826a74bd9d35811" cstate="print"/>
                          <a:stretch>
                            <a:fillRect/>
                          </a:stretch>
                        </pic:blipFill>
                        <pic:spPr>
                          <a:xfrm>
                            <a:off x="0" y="0"/>
                            <a:ext cx="5040000" cy="42912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 and operating reference (BASE CONFIGURATION)</w:t>
      </w:r>
    </w:p>
    <w:p>
      <w:pPr>
        <w:widowControl w:val="on"/>
        <w:pBdr/>
        <w:spacing w:before="0" w:after="0" w:line="262" w:lineRule="auto"/>
        <w:ind w:left="0" w:right="0"/>
        <w:jc w:val="left"/>
      </w:pPr>
      <w:r>
        <w:rPr>
          <w:b/>
          <w:bCs/>
          <w:color w:val="00274C"/>
          <w:sz w:val="20"/>
          <w:szCs w:val="20"/>
          <w:u w:val="none"/>
        </w:rPr>
        <w:t xml:space="preserve">WIEW OF EXHAUST SIDE</w:t>
      </w:r>
    </w:p>
    <w:p>
      <w:pPr>
        <w:widowControl w:val="on"/>
        <w:pBdr/>
        <w:spacing w:before="225" w:after="225" w:line="262" w:lineRule="auto"/>
        <w:ind w:left="0" w:right="0"/>
        <w:jc w:val="left"/>
      </w:pPr>
      <w:r>
        <w:drawing>
          <wp:inline distT="0" distB="0" distL="0" distR="0">
            <wp:extent cx="5544000" cy="3600000"/>
            <wp:effectExtent b="0" l="0" r="0" t="0"/>
            <wp:docPr id="65317581" name="name80236a74bd9d43364" descr="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png"/>
                    <pic:cNvPicPr/>
                  </pic:nvPicPr>
                  <pic:blipFill>
                    <a:blip r:embed="rId37956a74bd9d43361" cstate="print"/>
                    <a:stretch>
                      <a:fillRect/>
                    </a:stretch>
                  </pic:blipFill>
                  <pic:spPr>
                    <a:xfrm>
                      <a:off x="0" y="0"/>
                      <a:ext cx="5544000" cy="3600000"/>
                    </a:xfrm>
                    <a:prstGeom prst="rect">
                      <a:avLst/>
                    </a:prstGeom>
                    <a:ln w="0">
                      <a:noFill/>
                    </a:ln>
                  </pic:spPr>
                </pic:pic>
              </a:graphicData>
            </a:graphic>
          </wp:inline>
        </w:drawing>
      </w:r>
      <w:r>
        <w:rPr>
          <w:b/>
          <w:bCs/>
          <w:color w:val="00274C"/>
          <w:sz w:val="20"/>
          <w:szCs w:val="20"/>
          <w:u w:val="none"/>
        </w:rPr>
        <w:br/>
        <w:t xml:space="preserve">Fig 1.5</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following chapters contain operating references in order to clearly understand the engine. This paragraph illustrates these references that may be recognised by means of some main internal components.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Should you need to execute complex operations, always consult this paragraph.</w:t>
            </w:r>
          </w:p>
          <w:p>
            <w:pPr>
              <w:widowControl w:val="on"/>
              <w:pBdr/>
              <w:spacing w:before="0" w:after="0" w:line="262" w:lineRule="auto"/>
              <w:ind w:left="0" w:right="0"/>
              <w:jc w:val="left"/>
              <w:textAlignment w:val="center"/>
            </w:pPr>
            <w:r>
              <w:rPr>
                <w:b/>
                <w:bCs/>
                <w:color w:val="00274C"/>
                <w:position w:val="-2"/>
                <w:sz w:val="20"/>
                <w:szCs w:val="20"/>
                <w:u w:val="none"/>
              </w:rPr>
              <w:br/>
              <w:br/>
              <w:t xml:space="preserve">NOTE: </w:t>
            </w:r>
            <w:r>
              <w:rPr>
                <w:color w:val="00274C"/>
                <w:position w:val="-2"/>
                <w:sz w:val="20"/>
                <w:szCs w:val="20"/>
                <w:u w:val="none"/>
              </w:rPr>
              <w:t xml:space="preserve"> it is advisable to keepthis page visible during disassembly and assembly operations.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1.2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w:t>
                  </w:r>
                  <w:r>
                    <w:rPr>
                      <w:position w:val="-7"/>
                    </w:rPr>
                    <w:drawing>
                      <wp:inline distT="0" distB="0" distL="0" distR="0">
                        <wp:extent cx="360000" cy="172800"/>
                        <wp:effectExtent b="0" l="0" r="0" t="0"/>
                        <wp:docPr id="31735940" name="name59096a74bd9d46a69"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13396a74bd9d46a67"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timing system side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w:t>
                  </w:r>
                  <w:r>
                    <w:rPr>
                      <w:position w:val="-7"/>
                    </w:rPr>
                    <w:drawing>
                      <wp:inline distT="0" distB="0" distL="0" distR="0">
                        <wp:extent cx="360000" cy="172800"/>
                        <wp:effectExtent b="0" l="0" r="0" t="0"/>
                        <wp:docPr id="15189957" name="name41636a74bd9d4a352"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75996a74bd9d4a350"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flywheel side (1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 </w:t>
                  </w:r>
                  <w:r>
                    <w:rPr>
                      <w:position w:val="-7"/>
                    </w:rPr>
                    <w:drawing>
                      <wp:inline distT="0" distB="0" distL="0" distR="0">
                        <wp:extent cx="360000" cy="172800"/>
                        <wp:effectExtent b="0" l="0" r="0" t="0"/>
                        <wp:docPr id="36014001" name="name25196a74bd9d4cc4c"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68116a74bd9d4cc4a"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exhaust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w:t>
                  </w:r>
                  <w:r>
                    <w:rPr>
                      <w:position w:val="-7"/>
                    </w:rPr>
                    <w:drawing>
                      <wp:inline distT="0" distB="0" distL="0" distR="0">
                        <wp:extent cx="360000" cy="172800"/>
                        <wp:effectExtent b="0" l="0" r="0" t="0"/>
                        <wp:docPr id="97885201" name="name31036a74bd9d51d8b"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98746a74bd9d51d89"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intake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Gears adaptor for 3 </w:t>
                  </w:r>
                  <w:r>
                    <w:rPr>
                      <w:color w:val="00274C"/>
                      <w:position w:val="3"/>
                      <w:sz w:val="17"/>
                      <w:szCs w:val="17"/>
                      <w:u w:val="none"/>
                      <w:shd w:val="clear" w:color="auto" w:fill="E1E2E0"/>
                      <w:vertAlign w:val="superscript"/>
                      <w:vertAlign w:val="superscript"/>
                    </w:rPr>
                    <w:t xml:space="preserve">th</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th</w:t>
                  </w:r>
                  <w:r>
                    <w:rPr>
                      <w:color w:val="00274C"/>
                      <w:position w:val="-2"/>
                      <w:sz w:val="20"/>
                      <w:szCs w:val="20"/>
                      <w:u w:val="none"/>
                      <w:shd w:val="clear" w:color="auto" w:fill="E1E2E0"/>
                    </w:rPr>
                    <w:t xml:space="preserve">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Gears adaptor for 4th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shafts</w:t>
                  </w:r>
                </w:p>
              </w:tc>
            </w:tr>
          </w:tbl>
          <w:p/>
        </w:tc>
      </w:tr>
    </w:tbl>
    <w:p>
      <w:pPr>
        <w:widowControl w:val="on"/>
        <w:pBdr/>
        <w:spacing w:before="225" w:after="225" w:line="262" w:lineRule="auto"/>
        <w:ind w:left="0" w:right="0"/>
        <w:jc w:val="left"/>
      </w:pPr>
      <w:r>
        <w:rPr>
          <w:b/>
          <w:bCs/>
          <w:color w:val="00274C"/>
          <w:sz w:val="20"/>
          <w:szCs w:val="20"/>
          <w:u w:val="none"/>
        </w:rPr>
        <w:br/>
        <w:t xml:space="preserve">WIEW OF FLYWHEEL SIDE</w:t>
      </w:r>
      <w:r>
        <w:drawing>
          <wp:inline distT="0" distB="0" distL="0" distR="0">
            <wp:extent cx="5544000" cy="3794400"/>
            <wp:effectExtent b="0" l="0" r="0" t="0"/>
            <wp:docPr id="31234195" name="name30616a74bd9d61214" descr="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png"/>
                    <pic:cNvPicPr/>
                  </pic:nvPicPr>
                  <pic:blipFill>
                    <a:blip r:embed="rId95286a74bd9d61212" cstate="print"/>
                    <a:stretch>
                      <a:fillRect/>
                    </a:stretch>
                  </pic:blipFill>
                  <pic:spPr>
                    <a:xfrm>
                      <a:off x="0" y="0"/>
                      <a:ext cx="5544000" cy="3794400"/>
                    </a:xfrm>
                    <a:prstGeom prst="rect">
                      <a:avLst/>
                    </a:prstGeom>
                    <a:ln w="0">
                      <a:noFill/>
                    </a:ln>
                  </pic:spPr>
                </pic:pic>
              </a:graphicData>
            </a:graphic>
          </wp:inline>
        </w:drawing>
      </w:r>
      <w:r>
        <w:rPr>
          <w:b/>
          <w:bCs/>
          <w:color w:val="00274C"/>
          <w:sz w:val="20"/>
          <w:szCs w:val="20"/>
          <w:u w:val="none"/>
        </w:rPr>
        <w:br/>
        <w:br/>
        <w:t xml:space="preserve">Fig 1.6</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br/>
        <w:t xml:space="preserve">Identification of the external components of the engine (BASE CONFIGURATION)</w:t>
      </w:r>
    </w:p>
    <w:p>
      <w:pPr>
        <w:widowControl w:val="on"/>
        <w:pBdr/>
        <w:spacing w:before="225" w:after="225" w:line="262" w:lineRule="auto"/>
        <w:ind w:left="0" w:right="0"/>
        <w:jc w:val="left"/>
      </w:pPr>
      <w:r>
        <w:rPr>
          <w:b/>
          <w:bCs/>
          <w:color w:val="00274C"/>
          <w:sz w:val="20"/>
          <w:szCs w:val="20"/>
          <w:u w:val="none"/>
        </w:rPr>
        <w:t xml:space="preserve">VIEW OF TIMING SYSTEM SIDE - EXHAUST</w:t>
      </w:r>
      <w:r>
        <w:drawing>
          <wp:inline distT="0" distB="0" distL="0" distR="0">
            <wp:extent cx="5544000" cy="3600000"/>
            <wp:effectExtent b="0" l="0" r="0" t="0"/>
            <wp:docPr id="92931314" name="name30386a74bd9d76094" descr="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png"/>
                    <pic:cNvPicPr/>
                  </pic:nvPicPr>
                  <pic:blipFill>
                    <a:blip r:embed="rId76806a74bd9d76091" cstate="print"/>
                    <a:stretch>
                      <a:fillRect/>
                    </a:stretch>
                  </pic:blipFill>
                  <pic:spPr>
                    <a:xfrm>
                      <a:off x="0" y="0"/>
                      <a:ext cx="5544000" cy="3600000"/>
                    </a:xfrm>
                    <a:prstGeom prst="rect">
                      <a:avLst/>
                    </a:prstGeom>
                    <a:ln w="0">
                      <a:noFill/>
                    </a:ln>
                  </pic:spPr>
                </pic:pic>
              </a:graphicData>
            </a:graphic>
          </wp:inline>
        </w:drawing>
      </w:r>
      <w:r>
        <w:rPr>
          <w:b/>
          <w:bCs/>
          <w:color w:val="00274C"/>
          <w:sz w:val="20"/>
          <w:szCs w:val="20"/>
          <w:u w:val="none"/>
        </w:rPr>
        <w:br/>
        <w:br/>
        <w:t xml:space="preserve">Fig 1.7</w:t>
      </w:r>
    </w:p>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drawing>
          <wp:inline distT="0" distB="0" distL="0" distR="0">
            <wp:extent cx="5544000" cy="3787200"/>
            <wp:effectExtent b="0" l="0" r="0" t="0"/>
            <wp:docPr id="54328065" name="name90726a74bd9d86886" descr="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png"/>
                    <pic:cNvPicPr/>
                  </pic:nvPicPr>
                  <pic:blipFill>
                    <a:blip r:embed="rId44126a74bd9d86883"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1.8</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This paragraph illustrates all external components that are present in the base configuration of the engine.</w:t>
            </w:r>
            <w:r>
              <w:rPr>
                <w:color w:val="00274C"/>
                <w:position w:val="-2"/>
                <w:sz w:val="20"/>
                <w:szCs w:val="20"/>
                <w:u w:val="none"/>
              </w:rPr>
              <w:br/>
              <w:t xml:space="preserve">For components present on engines that differ from those represented in these illustrations, refer to </w:t>
            </w:r>
            <w:hyperlink r:id="rId72446a74bd9d86bfe" w:history="1">
              <w:r>
                <w:rPr>
                  <w:rStyle w:val="DefaultParagraphFontPHPDOCX"/>
                  <w:b/>
                  <w:bCs/>
                  <w:color w:val="0000FF"/>
                  <w:position w:val="-2"/>
                  <w:sz w:val="20"/>
                  <w:szCs w:val="20"/>
                  <w:u w:val="none"/>
                </w:rPr>
                <w:t xml:space="preserve">Chap. 11</w:t>
              </w:r>
              <w:r>
                <w:rPr>
                  <w:color w:val="0000FF"/>
                  <w:position w:val="-2"/>
                  <w:sz w:val="20"/>
                  <w:szCs w:val="20"/>
                  <w:u w:val="single" w:color=""/>
                </w:rPr>
                <w:t xml:space="preserve"> .</w:t>
              </w:r>
            </w:hyperlink>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NOTE:</w:t>
            </w:r>
            <w:r>
              <w:rPr>
                <w:color w:val="00274C"/>
                <w:position w:val="0"/>
                <w:sz w:val="20"/>
                <w:szCs w:val="20"/>
                <w:u w:val="none"/>
              </w:rPr>
              <w:t xml:space="preserve"> The illustrated components may differ from those illustrated; the illustration is only as an example.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1.3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identification name plate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bl>
          <w:p/>
        </w:tc>
        <w:tc>
          <w:tcPr>
            <w:tcW w:w="0" w:type="auto"/>
            <w:tcMar>
              <w:top w:w="150" w:type="dxa"/>
              <w:left w:w="150" w:type="dxa"/>
              <w:bottom w:w="150" w:type="dxa"/>
              <w:right w:w="150" w:type="dxa"/>
            </w:tcMar>
            <w:vAlign w:val="top"/>
          </w:tcP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valve control actuator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Flange bell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hose</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UPPER VIEW</w:t>
      </w:r>
      <w:r>
        <w:drawing>
          <wp:inline distT="0" distB="0" distL="0" distR="0">
            <wp:extent cx="5544000" cy="3787200"/>
            <wp:effectExtent b="0" l="0" r="0" t="0"/>
            <wp:docPr id="33260413" name="name20576a74bd9d9aca6" descr="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png"/>
                    <pic:cNvPicPr/>
                  </pic:nvPicPr>
                  <pic:blipFill>
                    <a:blip r:embed="rId60596a74bd9d9aca3"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1.9</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1.6.1 ATS with DOC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can be installed in a different way than shown.</w:t>
            </w:r>
          </w:p>
          <w:p/>
          <w:p/>
          <w:p>
            <w:pPr>
              <w:widowControl w:val="on"/>
              <w:pBdr/>
              <w:spacing w:before="0" w:after="0" w:line="262" w:lineRule="auto"/>
              <w:ind w:left="0" w:right="0"/>
              <w:jc w:val="left"/>
              <w:textAlignment w:val="center"/>
            </w:pPr>
            <w:r>
              <w:rPr>
                <w:position w:val="-87"/>
              </w:rPr>
              <w:drawing>
                <wp:inline distT="0" distB="0" distL="0" distR="0">
                  <wp:extent cx="2232000" cy="1159200"/>
                  <wp:effectExtent b="0" l="0" r="0" t="0"/>
                  <wp:docPr id="46667729" name="name74856a74bd9da2270" descr="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7.jpg"/>
                          <pic:cNvPicPr/>
                        </pic:nvPicPr>
                        <pic:blipFill>
                          <a:blip r:embed="rId48386a74bd9da226e" cstate="print"/>
                          <a:stretch>
                            <a:fillRect/>
                          </a:stretch>
                        </pic:blipFill>
                        <pic:spPr>
                          <a:xfrm>
                            <a:off x="0" y="0"/>
                            <a:ext cx="2232000" cy="1159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1.10</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Flexible exhaust tube</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1.6.2 ATS with DOC+DPF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with DPF filter is only present for versions compliant with "Stage V" emission regulations.</w:t>
            </w:r>
          </w:p>
          <w:p>
            <w:pPr>
              <w:widowControl w:val="on"/>
              <w:pBdr/>
              <w:spacing w:before="0" w:after="0" w:line="262" w:lineRule="auto"/>
              <w:ind w:left="0" w:right="0"/>
              <w:jc w:val="left"/>
              <w:textAlignment w:val="center"/>
            </w:pPr>
            <w:r>
              <w:rPr>
                <w:color w:val="00274C"/>
                <w:position w:val="-2"/>
                <w:sz w:val="20"/>
                <w:szCs w:val="20"/>
                <w:u w:val="none"/>
              </w:rPr>
              <w:t xml:space="preserve">The ATS system can be installed in a different way than shown.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exhaust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position w:val="-310"/>
              </w:rPr>
              <w:drawing>
                <wp:inline distT="0" distB="0" distL="0" distR="0">
                  <wp:extent cx="5551200" cy="3924000"/>
                  <wp:effectExtent b="0" l="0" r="0" t="0"/>
                  <wp:docPr id="84576372" name="name41516a74bd9db0701" descr="CAP_1_AT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ATS-01.png"/>
                          <pic:cNvPicPr/>
                        </pic:nvPicPr>
                        <pic:blipFill>
                          <a:blip r:embed="rId51776a74bd9db06fe" cstate="print"/>
                          <a:stretch>
                            <a:fillRect/>
                          </a:stretch>
                        </pic:blipFill>
                        <pic:spPr>
                          <a:xfrm>
                            <a:off x="0" y="0"/>
                            <a:ext cx="5551200" cy="39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1.11</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200">
    <w:multiLevelType w:val="hybridMultilevel"/>
    <w:lvl w:ilvl="0" w:tplc="78819418">
      <w:start w:val="1"/>
      <w:numFmt w:val="decimal"/>
      <w:lvlText w:val="%1."/>
      <w:lvlJc w:val="left"/>
      <w:pPr>
        <w:ind w:left="720" w:hanging="360"/>
      </w:pPr>
    </w:lvl>
    <w:lvl w:ilvl="1" w:tplc="78819418" w:tentative="1">
      <w:start w:val="1"/>
      <w:numFmt w:val="lowerLetter"/>
      <w:lvlText w:val="%2."/>
      <w:lvlJc w:val="left"/>
      <w:pPr>
        <w:ind w:left="1440" w:hanging="360"/>
      </w:pPr>
    </w:lvl>
    <w:lvl w:ilvl="2" w:tplc="78819418" w:tentative="1">
      <w:start w:val="1"/>
      <w:numFmt w:val="lowerRoman"/>
      <w:lvlText w:val="%3."/>
      <w:lvlJc w:val="right"/>
      <w:pPr>
        <w:ind w:left="2160" w:hanging="180"/>
      </w:pPr>
    </w:lvl>
    <w:lvl w:ilvl="3" w:tplc="78819418" w:tentative="1">
      <w:start w:val="1"/>
      <w:numFmt w:val="decimal"/>
      <w:lvlText w:val="%4."/>
      <w:lvlJc w:val="left"/>
      <w:pPr>
        <w:ind w:left="2880" w:hanging="360"/>
      </w:pPr>
    </w:lvl>
    <w:lvl w:ilvl="4" w:tplc="78819418" w:tentative="1">
      <w:start w:val="1"/>
      <w:numFmt w:val="lowerLetter"/>
      <w:lvlText w:val="%5."/>
      <w:lvlJc w:val="left"/>
      <w:pPr>
        <w:ind w:left="3600" w:hanging="360"/>
      </w:pPr>
    </w:lvl>
    <w:lvl w:ilvl="5" w:tplc="78819418" w:tentative="1">
      <w:start w:val="1"/>
      <w:numFmt w:val="lowerRoman"/>
      <w:lvlText w:val="%6."/>
      <w:lvlJc w:val="right"/>
      <w:pPr>
        <w:ind w:left="4320" w:hanging="180"/>
      </w:pPr>
    </w:lvl>
    <w:lvl w:ilvl="6" w:tplc="78819418" w:tentative="1">
      <w:start w:val="1"/>
      <w:numFmt w:val="decimal"/>
      <w:lvlText w:val="%7."/>
      <w:lvlJc w:val="left"/>
      <w:pPr>
        <w:ind w:left="5040" w:hanging="360"/>
      </w:pPr>
    </w:lvl>
    <w:lvl w:ilvl="7" w:tplc="78819418" w:tentative="1">
      <w:start w:val="1"/>
      <w:numFmt w:val="lowerLetter"/>
      <w:lvlText w:val="%8."/>
      <w:lvlJc w:val="left"/>
      <w:pPr>
        <w:ind w:left="5760" w:hanging="360"/>
      </w:pPr>
    </w:lvl>
    <w:lvl w:ilvl="8" w:tplc="78819418" w:tentative="1">
      <w:start w:val="1"/>
      <w:numFmt w:val="lowerRoman"/>
      <w:lvlText w:val="%9."/>
      <w:lvlJc w:val="right"/>
      <w:pPr>
        <w:ind w:left="6480" w:hanging="180"/>
      </w:pPr>
    </w:lvl>
  </w:abstractNum>
  <w:abstractNum w:abstractNumId="2199">
    <w:multiLevelType w:val="hybridMultilevel"/>
    <w:lvl w:ilvl="0" w:tplc="319241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199">
    <w:abstractNumId w:val="2199"/>
  </w:num>
  <w:num w:numId="2200">
    <w:abstractNumId w:val="22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75960070" Type="http://schemas.openxmlformats.org/officeDocument/2006/relationships/comments" Target="comments.xml"/><Relationship Id="rId324952553" Type="http://schemas.microsoft.com/office/2011/relationships/commentsExtended" Target="commentsExtended.xml"/><Relationship Id="rId50369091" Type="http://schemas.openxmlformats.org/officeDocument/2006/relationships/image" Target="media/imgrId50369091.jpg"/><Relationship Id="rId85656a74bd9cd7fbe" Type="http://schemas.openxmlformats.org/officeDocument/2006/relationships/hyperlink" Target="https://iservice.lombardini.it/jsp/Template2/manuale.jsp?id=547&amp;parent=1273" TargetMode="External"/><Relationship Id="rId77896a74bd9cd8076" Type="http://schemas.openxmlformats.org/officeDocument/2006/relationships/hyperlink" Target="https://iservice.lombardini.it/jsp/Template2/manuale.jsp?id=548&amp;parent=1273" TargetMode="External"/><Relationship Id="rId31356a74bd9cd8d81" Type="http://schemas.openxmlformats.org/officeDocument/2006/relationships/hyperlink" Target="https://iservice.lombardini.it/jsp/Template2/manuale.jsp?id=193&amp;parent=1273" TargetMode="External"/><Relationship Id="rId41476a74bd9cd8e1f" Type="http://schemas.openxmlformats.org/officeDocument/2006/relationships/hyperlink" Target="https://iservice.lombardini.it/jsp/Template2/manuale.jsp?id=193&amp;parent=1273" TargetMode="External"/><Relationship Id="rId36226a74bd9ce1372" Type="http://schemas.openxmlformats.org/officeDocument/2006/relationships/hyperlink" Target="https://iservice.lombardini.it/jsp/Template2/manuale.jsp?id=114&amp;parent=1273" TargetMode="External"/><Relationship Id="rId72446a74bd9d86bfe" Type="http://schemas.openxmlformats.org/officeDocument/2006/relationships/hyperlink" Target="https://iservice.lombardini.it/jsp/Template2/manuale.jsp?id=624&amp;parent=1273" TargetMode="External"/><Relationship Id="rId80646a74bd9ce0615" Type="http://schemas.openxmlformats.org/officeDocument/2006/relationships/image" Target="media/imgrId80646a74bd9ce0615.gif"/><Relationship Id="rId87176a74bd9cf2b33" Type="http://schemas.openxmlformats.org/officeDocument/2006/relationships/image" Target="media/imgrId87176a74bd9cf2b33.png"/><Relationship Id="rId64846a74bd9d0b57d" Type="http://schemas.openxmlformats.org/officeDocument/2006/relationships/image" Target="media/imgrId64846a74bd9d0b57d.png"/><Relationship Id="rId66836a74bd9d16d84" Type="http://schemas.openxmlformats.org/officeDocument/2006/relationships/image" Target="media/imgrId66836a74bd9d16d84.jpg"/><Relationship Id="rId65286a74bd9d24845" Type="http://schemas.openxmlformats.org/officeDocument/2006/relationships/image" Target="media/imgrId65286a74bd9d24845.jpg"/><Relationship Id="rId54826a74bd9d35811" Type="http://schemas.openxmlformats.org/officeDocument/2006/relationships/image" Target="media/imgrId54826a74bd9d35811.jpg"/><Relationship Id="rId37956a74bd9d43361" Type="http://schemas.openxmlformats.org/officeDocument/2006/relationships/image" Target="media/imgrId37956a74bd9d43361.png"/><Relationship Id="rId13396a74bd9d46a67" Type="http://schemas.openxmlformats.org/officeDocument/2006/relationships/image" Target="media/imgrId13396a74bd9d46a67.gif"/><Relationship Id="rId75996a74bd9d4a350" Type="http://schemas.openxmlformats.org/officeDocument/2006/relationships/image" Target="media/imgrId75996a74bd9d4a350.gif"/><Relationship Id="rId68116a74bd9d4cc4a" Type="http://schemas.openxmlformats.org/officeDocument/2006/relationships/image" Target="media/imgrId68116a74bd9d4cc4a.gif"/><Relationship Id="rId98746a74bd9d51d89" Type="http://schemas.openxmlformats.org/officeDocument/2006/relationships/image" Target="media/imgrId98746a74bd9d51d89.gif"/><Relationship Id="rId95286a74bd9d61212" Type="http://schemas.openxmlformats.org/officeDocument/2006/relationships/image" Target="media/imgrId95286a74bd9d61212.png"/><Relationship Id="rId76806a74bd9d76091" Type="http://schemas.openxmlformats.org/officeDocument/2006/relationships/image" Target="media/imgrId76806a74bd9d76091.png"/><Relationship Id="rId44126a74bd9d86883" Type="http://schemas.openxmlformats.org/officeDocument/2006/relationships/image" Target="media/imgrId44126a74bd9d86883.png"/><Relationship Id="rId60596a74bd9d9aca3" Type="http://schemas.openxmlformats.org/officeDocument/2006/relationships/image" Target="media/imgrId60596a74bd9d9aca3.png"/><Relationship Id="rId48386a74bd9da226e" Type="http://schemas.openxmlformats.org/officeDocument/2006/relationships/image" Target="media/imgrId48386a74bd9da226e.jpg"/><Relationship Id="rId51776a74bd9db06fe" Type="http://schemas.openxmlformats.org/officeDocument/2006/relationships/image" Target="media/imgrId51776a74bd9db06fe.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50369091" Type="http://schemas.openxmlformats.org/officeDocument/2006/relationships/image" Target="media/imgrId50369091.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50369091" Type="http://schemas.openxmlformats.org/officeDocument/2006/relationships/image" Target="media/imgrId50369091.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50369091" Type="http://schemas.openxmlformats.org/officeDocument/2006/relationships/image" Target="media/imgrId50369091.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50369091" Type="http://schemas.openxmlformats.org/officeDocument/2006/relationships/image" Target="media/imgrId50369091.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50369091" Type="http://schemas.openxmlformats.org/officeDocument/2006/relationships/image" Target="media/imgrId50369091.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50369091" Type="http://schemas.openxmlformats.org/officeDocument/2006/relationships/image" Target="media/imgrId50369091.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