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tecniche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uso e manutenzione KSD 1403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56565955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3876247"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3699638" w:name="ctxt"/>
    <w:bookmarkEnd w:id="23699638"/>
    <w:p>
      <w:pPr>
        <w:widowControl w:val="on"/>
        <w:pBdr/>
        <w:spacing w:before="75" w:after="75" w:line="240" w:lineRule="auto"/>
        <w:ind w:left="75" w:right="75"/>
        <w:jc w:val="left"/>
      </w:pPr>
    </w:p>
    <w:p>
      <w:pPr>
        <w:pStyle w:val="Titolo1"/>
      </w:pPr>
      <w:r>
        <w:rPr/>
        <w:t xml:space="preserve">Informazioni tecniche</w:t>
      </w:r>
    </w:p>
    <w:p>
      <w:pPr>
        <w:widowControl w:val="on"/>
        <w:pBdr/>
        <w:spacing w:before="0" w:after="0" w:line="240" w:lineRule="auto"/>
        <w:ind w:left="0" w:right="0"/>
        <w:jc w:val="left"/>
      </w:pPr>
    </w:p>
    <w:p>
      <w:pPr>
        <w:pStyle w:val="Titolo2"/>
      </w:pPr>
      <w:r>
        <w:rPr/>
        <w:t xml:space="preserve">Descrizione generale del motore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Diesel 4 tempi con cilindri in linea; - Raffreddamento a liquido;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valvole per cilindro;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Iniezione indiretta.</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Dati tecnici motore (versione base)</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CARATTERISTICHE TECNICHE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UNITA' DI MISURA</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53087013" name="name56436a87f96e4fab8"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42646a87f96e4fab5"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Modello motore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Alesaggio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Corsa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INCLINAZIONE MASSIMA DURANTE IL FUNZIONAMENTO (anche in combinato)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CAPACITÀ OLIO (livello MAX.) con filtro olio montato</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PESO A SECCO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Ingombro motori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86145339" name="name47296a87f96e61db9"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81276a87f96e61db5"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17012711" name="name16886a87f96e71cac"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27686a87f96e71ca9"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51127816" name="name33296a87f96e80579"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51726a87f96e80576"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NOTA</w:t>
      </w:r>
      <w:r>
        <w:rPr>
          <w:color w:val="00274C"/>
          <w:sz w:val="20"/>
          <w:szCs w:val="20"/>
          <w:u w:val="none"/>
        </w:rPr>
        <w:t xml:space="preserve"> : le quote di ingombro variano in base alla configurazione del motore.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Olio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617990" name="name71216a87f96e856e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846a87f96e856e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5006"/>
        </w:numPr>
        <w:spacing w:before="0" w:after="0" w:line="240" w:lineRule="auto"/>
        <w:jc w:val="left"/>
        <w:rPr>
          <w:color w:val="00274C"/>
          <w:sz w:val="20"/>
          <w:szCs w:val="20"/>
        </w:rPr>
      </w:pPr>
      <w:r>
        <w:rPr>
          <w:color w:val="00274C"/>
          <w:sz w:val="20"/>
          <w:szCs w:val="20"/>
          <w:u w:val="none"/>
        </w:rPr>
        <w:t xml:space="preserve">Il motore può danneggiarsi se fatto lavorare con livello olio non corretto.</w:t>
      </w:r>
    </w:p>
    <w:p>
      <w:pPr>
        <w:numPr>
          <w:ilvl w:val="0"/>
          <w:numId w:val="5006"/>
        </w:numPr>
        <w:spacing w:before="0" w:after="0" w:line="240" w:lineRule="auto"/>
        <w:jc w:val="left"/>
        <w:rPr>
          <w:color w:val="00274C"/>
          <w:sz w:val="20"/>
          <w:szCs w:val="20"/>
        </w:rPr>
      </w:pPr>
      <w:r>
        <w:rPr>
          <w:color w:val="00274C"/>
          <w:sz w:val="20"/>
          <w:szCs w:val="20"/>
          <w:u w:val="none"/>
        </w:rPr>
        <w:t xml:space="preserve">Non superare il livello MAX. poichè la sua combustione può provocare un brusco aumento della velocità di rotazione.</w:t>
      </w:r>
    </w:p>
    <w:p>
      <w:pPr>
        <w:numPr>
          <w:ilvl w:val="0"/>
          <w:numId w:val="5006"/>
        </w:numPr>
        <w:spacing w:before="0" w:after="0" w:line="240" w:lineRule="auto"/>
        <w:jc w:val="left"/>
        <w:rPr>
          <w:color w:val="00274C"/>
          <w:sz w:val="20"/>
          <w:szCs w:val="20"/>
        </w:rPr>
      </w:pPr>
      <w:r>
        <w:rPr>
          <w:color w:val="00274C"/>
          <w:sz w:val="20"/>
          <w:szCs w:val="20"/>
          <w:u w:val="none"/>
        </w:rPr>
        <w:t xml:space="preserve">Utilizzare unicamente l'olio approvato al fine di garantire una adeguata protezione, efficenza e durata del motore.</w:t>
      </w:r>
    </w:p>
    <w:p>
      <w:pPr>
        <w:numPr>
          <w:ilvl w:val="0"/>
          <w:numId w:val="5006"/>
        </w:numPr>
        <w:spacing w:before="0" w:after="0" w:line="240" w:lineRule="auto"/>
        <w:jc w:val="left"/>
        <w:rPr>
          <w:color w:val="00274C"/>
          <w:sz w:val="20"/>
          <w:szCs w:val="20"/>
        </w:rPr>
      </w:pPr>
      <w:r>
        <w:rPr>
          <w:color w:val="00274C"/>
          <w:sz w:val="20"/>
          <w:szCs w:val="20"/>
          <w:u w:val="none"/>
        </w:rPr>
        <w:t xml:space="preserve">Impiegando olio di qualità inferiore a quello prescritto, la durata del motore ne risulterà notevolmente compromessa.</w:t>
      </w:r>
    </w:p>
    <w:p>
      <w:pPr>
        <w:numPr>
          <w:ilvl w:val="0"/>
          <w:numId w:val="5006"/>
        </w:numPr>
        <w:spacing w:before="0" w:after="0" w:line="240" w:lineRule="auto"/>
        <w:jc w:val="left"/>
        <w:rPr>
          <w:color w:val="00274C"/>
          <w:sz w:val="20"/>
          <w:szCs w:val="20"/>
        </w:rPr>
      </w:pPr>
      <w:r>
        <w:rPr>
          <w:color w:val="00274C"/>
          <w:sz w:val="20"/>
          <w:szCs w:val="20"/>
          <w:u w:val="none"/>
        </w:rPr>
        <w:t xml:space="preserve">La viscosità dell'olio deve essere adeguata alla temperatura ambiente in cui il motore opera.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388917" name="name88796a87f96e8d3b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5816a87f96e8d3b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006"/>
        </w:numPr>
        <w:spacing w:before="0" w:after="0" w:line="240" w:lineRule="auto"/>
        <w:jc w:val="left"/>
        <w:rPr>
          <w:color w:val="00274C"/>
          <w:sz w:val="20"/>
          <w:szCs w:val="20"/>
        </w:rPr>
      </w:pPr>
      <w:r>
        <w:rPr>
          <w:color w:val="00274C"/>
          <w:sz w:val="20"/>
          <w:szCs w:val="20"/>
          <w:u w:val="none"/>
        </w:rPr>
        <w:t xml:space="preserve">Il prolungato contatto della pelle con l'olio motore esausto può essere causa di cancro all'epidermide.</w:t>
      </w:r>
    </w:p>
    <w:p>
      <w:pPr>
        <w:numPr>
          <w:ilvl w:val="0"/>
          <w:numId w:val="5006"/>
        </w:numPr>
        <w:spacing w:before="0" w:after="0" w:line="240" w:lineRule="auto"/>
        <w:jc w:val="left"/>
        <w:rPr>
          <w:color w:val="00274C"/>
          <w:sz w:val="20"/>
          <w:szCs w:val="20"/>
        </w:rPr>
      </w:pPr>
      <w:r>
        <w:rPr>
          <w:color w:val="00274C"/>
          <w:sz w:val="20"/>
          <w:szCs w:val="20"/>
          <w:u w:val="none"/>
        </w:rPr>
        <w:t xml:space="preserve">Se il contatto con l'olio fosse inevitabile, lavarsi accuratamente le mani con acqua e sapone non appena possibile.</w:t>
      </w:r>
    </w:p>
    <w:p>
      <w:pPr>
        <w:numPr>
          <w:ilvl w:val="0"/>
          <w:numId w:val="5006"/>
        </w:numPr>
        <w:spacing w:before="0" w:after="0" w:line="240" w:lineRule="auto"/>
        <w:jc w:val="left"/>
        <w:rPr>
          <w:color w:val="00274C"/>
          <w:sz w:val="20"/>
          <w:szCs w:val="20"/>
        </w:rPr>
      </w:pPr>
      <w:r>
        <w:rPr>
          <w:color w:val="00274C"/>
          <w:sz w:val="20"/>
          <w:szCs w:val="20"/>
          <w:u w:val="none"/>
        </w:rPr>
        <w:t xml:space="preserve">Per lo smaltimento dell'olio esausto fare riferimento al </w:t>
      </w:r>
      <w:r>
        <w:rPr>
          <w:b/>
          <w:bCs/>
          <w:color w:val="00274C"/>
          <w:sz w:val="20"/>
          <w:szCs w:val="20"/>
          <w:u w:val="none"/>
        </w:rPr>
        <w:t xml:space="preserve">Par. DISMISSIONE e ROTTAMAZIONE</w:t>
      </w:r>
      <w:r>
        <w:rPr>
          <w:color w:val="00274C"/>
          <w:sz w:val="20"/>
          <w:szCs w:val="20"/>
          <w:u w:val="none"/>
        </w:rPr>
        <w:t xml:space="preserve"> . </w:t>
      </w:r>
      <w:hyperlink r:id="rId12576a87f96e8e043" w:history="1"/>
    </w:p>
    <w:p>
      <w:pPr>
        <w:widowControl w:val="on"/>
        <w:pBdr/>
        <w:spacing w:before="0" w:after="0" w:line="262" w:lineRule="auto"/>
        <w:ind w:left="0" w:right="0"/>
        <w:jc w:val="left"/>
      </w:pPr>
      <w:r>
        <w:rPr>
          <w:rStyle w:val="DefaultParagraphFontPHPDOCX"/>
          <w:b/>
          <w:bCs/>
          <w:color w:val="00274C"/>
          <w:sz w:val="20"/>
          <w:szCs w:val="20"/>
          <w:u w:val="none"/>
        </w:rPr>
        <w:br/>
        <w:br/>
        <w:br/>
        <w:t xml:space="preserve">2.4.1 Classificazione olio SAE</w:t>
      </w:r>
    </w:p>
    <w:p>
      <w:pPr>
        <w:numPr>
          <w:ilvl w:val="0"/>
          <w:numId w:val="5006"/>
        </w:numPr>
        <w:spacing w:before="0" w:after="0" w:line="240" w:lineRule="auto"/>
        <w:jc w:val="left"/>
        <w:rPr>
          <w:color w:val="00274C"/>
          <w:sz w:val="20"/>
          <w:szCs w:val="20"/>
        </w:rPr>
      </w:pPr>
      <w:r>
        <w:rPr>
          <w:color w:val="00274C"/>
          <w:sz w:val="20"/>
          <w:szCs w:val="20"/>
          <w:u w:val="none"/>
        </w:rPr>
        <w:t xml:space="preserve">Identifica gli oli in base alla viscosità, non tenendo conto di nessun altra caratteristica qualitativa.</w:t>
      </w:r>
    </w:p>
    <w:p>
      <w:pPr>
        <w:numPr>
          <w:ilvl w:val="0"/>
          <w:numId w:val="5006"/>
        </w:numPr>
        <w:spacing w:before="0" w:after="0" w:line="240" w:lineRule="auto"/>
        <w:jc w:val="left"/>
        <w:rPr>
          <w:color w:val="00274C"/>
          <w:sz w:val="20"/>
          <w:szCs w:val="20"/>
        </w:rPr>
      </w:pPr>
      <w:r>
        <w:rPr>
          <w:color w:val="00274C"/>
          <w:sz w:val="20"/>
          <w:szCs w:val="20"/>
          <w:u w:val="none"/>
        </w:rPr>
        <w:t xml:space="preserve">Il codice è costituito da due numeri che indicano e devono corrispondere, alla temperatura ambiente in cui il motore opera, con un'interposizione di un " </w:t>
      </w:r>
      <w:r>
        <w:rPr>
          <w:b/>
          <w:bCs/>
          <w:color w:val="00274C"/>
          <w:sz w:val="20"/>
          <w:szCs w:val="20"/>
          <w:u w:val="none"/>
        </w:rPr>
        <w:t xml:space="preserve">W</w:t>
      </w:r>
      <w:r>
        <w:rPr>
          <w:color w:val="00274C"/>
          <w:sz w:val="20"/>
          <w:szCs w:val="20"/>
          <w:u w:val="none"/>
        </w:rPr>
        <w:t xml:space="preserve"> ", dove il primo numero determina il valore in condizione di temperature rigide, mentre il secondo determina il valore in condizione di temperature elevate.</w:t>
      </w:r>
    </w:p>
    <w:p>
      <w:pPr>
        <w:widowControl w:val="on"/>
        <w:pBdr/>
        <w:spacing w:before="0" w:after="0" w:line="262" w:lineRule="auto"/>
        <w:ind w:left="0" w:right="0"/>
        <w:jc w:val="left"/>
      </w:pPr>
      <w:r>
        <w:rPr>
          <w:color w:val="00274C"/>
          <w:sz w:val="20"/>
          <w:szCs w:val="20"/>
          <w:u w:val="none"/>
        </w:rPr>
        <w:t xml:space="preserve">Utilizzare la viscosità dell'olio in base all'intervallo di temperatura dell'aria rilevato durante il periodo tra i cambi d'olio, come indicato nella tabella seguente.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E’ preferibile l’olio  </w:t>
      </w:r>
      <w:r>
        <w:rPr>
          <w:b/>
          <w:bCs/>
          <w:color w:val="00274C"/>
          <w:sz w:val="20"/>
          <w:szCs w:val="20"/>
          <w:u w:val="none"/>
        </w:rPr>
        <w:t xml:space="preserve">Rehlko X-treme 10W-40 formula pro; X-treme 10W-40; X-treme 5W-40</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4068063" name="name53896a87f96e9598d"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93466a87f96e9598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0777114" name="name49966a87f96e9d817"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26496a87f96e9d814"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3381036" name="name97636a87f96ea4d33"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89046a87f96ea4d30"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Si raccomandano inoltre oli che soddisfino le seguenti specifiche.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OLIO PRESCRITTO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CON SPECIFICHE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 superiore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 superiore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8264402" name="name20256a87f96eac8b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6606a87f96eac8b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L’uso di altri tipi di carburante può causare danni al motore. Non usare carburante diesel sporco o miscele di carburante diesel e acqua poiché possono causare gravi danni al motore.</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Qualsiasi danno derivante dall’uso di carburanti diversi da quelli raccomandati non sarà coperto dalla garanzia.</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36681114" name="name62856a87f96eb416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3566a87f96eb416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Avvertenza</w:t>
            </w:r>
          </w:p>
          <w:p>
            <w:pPr>
              <w:numPr>
                <w:ilvl w:val="0"/>
                <w:numId w:val="5006"/>
              </w:numPr>
              <w:spacing w:before="0" w:after="0" w:line="262" w:lineRule="auto"/>
              <w:jc w:val="left"/>
              <w:rPr>
                <w:color w:val="00274C"/>
                <w:sz w:val="20"/>
                <w:szCs w:val="20"/>
              </w:rPr>
            </w:pPr>
            <w:r>
              <w:rPr>
                <w:color w:val="00274C"/>
                <w:position w:val="0"/>
                <w:sz w:val="20"/>
                <w:szCs w:val="20"/>
                <w:u w:val="none"/>
              </w:rPr>
              <w:t xml:space="preserve">L’uso di carburante adeguatamente filtrato previene l’intasamento dell’impianto di iniezione. Pulire immediatamente qualsiasi fuoriuscita di carburante durante il rifornimento. </w:t>
            </w:r>
          </w:p>
          <w:p>
            <w:pPr>
              <w:numPr>
                <w:ilvl w:val="0"/>
                <w:numId w:val="5006"/>
              </w:numPr>
              <w:spacing w:before="0" w:after="0" w:line="262" w:lineRule="auto"/>
              <w:jc w:val="left"/>
              <w:rPr>
                <w:color w:val="00274C"/>
                <w:sz w:val="20"/>
                <w:szCs w:val="20"/>
              </w:rPr>
            </w:pPr>
            <w:r>
              <w:rPr>
                <w:color w:val="00274C"/>
                <w:position w:val="0"/>
                <w:sz w:val="20"/>
                <w:szCs w:val="20"/>
                <w:u w:val="none"/>
              </w:rPr>
              <w:t xml:space="preserve">Non conservare il carburante in contenitori galvanizzati (ovvero ricoperti di zinco). Il carburante all’interno di un contenitore galvanizzato genera una reazione chimica, producendo composti che intasano velocemente i filtri o causa guasti alla pompa di iniezione e/o agli iniettori.</w:t>
            </w:r>
          </w:p>
          <w:p>
            <w:pPr>
              <w:numPr>
                <w:ilvl w:val="0"/>
                <w:numId w:val="5006"/>
              </w:numPr>
              <w:spacing w:before="0" w:after="0" w:line="262" w:lineRule="auto"/>
              <w:jc w:val="left"/>
              <w:rPr>
                <w:color w:val="00274C"/>
                <w:sz w:val="20"/>
                <w:szCs w:val="20"/>
              </w:rPr>
            </w:pPr>
            <w:r>
              <w:rPr>
                <w:color w:val="00274C"/>
                <w:position w:val="0"/>
                <w:sz w:val="20"/>
                <w:szCs w:val="20"/>
                <w:u w:val="none"/>
              </w:rPr>
              <w:t xml:space="preserve">Eventuali guasti derivanti dall'utilizzo di carburante diverso da </w:t>
            </w:r>
            <w:r>
              <w:rPr>
                <w:b/>
                <w:bCs/>
                <w:color w:val="00274C"/>
                <w:position w:val="0"/>
                <w:sz w:val="20"/>
                <w:szCs w:val="20"/>
                <w:u w:val="none"/>
              </w:rPr>
              <w:t xml:space="preserve">Tab. 2.3, 2.4</w:t>
            </w:r>
            <w:r>
              <w:rPr>
                <w:color w:val="00274C"/>
                <w:position w:val="0"/>
                <w:sz w:val="20"/>
                <w:szCs w:val="20"/>
                <w:u w:val="none"/>
              </w:rPr>
              <w:t xml:space="preserve"> non saranno coperti da garanzia.</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i/>
                <w:iCs/>
                <w:color w:val="00274C"/>
                <w:position w:val="-2"/>
                <w:sz w:val="20"/>
                <w:szCs w:val="20"/>
                <w:u w:val="none"/>
              </w:rPr>
              <w:t xml:space="preserve">Numero di cetano minimo 40. È preferibile un numero di cetano maggiore di 47, soprattutto per temperature inferiori a –20 °C (–4 °F) o altitudini superiori a 1675 m (5500 piedi).</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Altamente Regolamentati (EU, USA, CANADA, JAPAN, CHINA, INDIA)</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Meno o Non Regolamentati (Resto del Mondo e Applicazioni Militari) </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Equivalente a tutte le specifiche sopra</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w:t>
            </w:r>
            <w:r>
              <w:rPr>
                <w:color w:val="00274C"/>
                <w:position w:val="-2"/>
                <w:sz w:val="20"/>
                <w:szCs w:val="20"/>
                <w:u w:val="none"/>
              </w:rPr>
              <w:t xml:space="preserve"> &lt; 500ppm</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w:t>
            </w:r>
            <w:r>
              <w:rPr>
                <w:color w:val="00274C"/>
                <w:position w:val="-2"/>
                <w:sz w:val="20"/>
                <w:szCs w:val="20"/>
                <w:u w:val="none"/>
              </w:rPr>
              <w:t xml:space="preserve"> &lt; 2000ppm</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F-44 (kerosene, designazione NATO) </w:t>
            </w:r>
            <w:r>
              <w:rPr>
                <w:b/>
                <w:bCs/>
                <w:color w:val="00274C"/>
                <w:position w:val="-2"/>
                <w:sz w:val="20"/>
                <w:szCs w:val="20"/>
                <w:u w:val="none"/>
              </w:rPr>
              <w:t xml:space="preserve">(1)</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F-63 (kerosene, designazione NATO, equivalente a F-34/F-35 con l'utilizzo di additivi (1)</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JP-8 (kerosene, designazione militare USA) </w:t>
            </w:r>
            <w:r>
              <w:rPr>
                <w:b/>
                <w:bCs/>
                <w:color w:val="00274C"/>
                <w:position w:val="-2"/>
                <w:sz w:val="20"/>
                <w:szCs w:val="20"/>
                <w:u w:val="none"/>
              </w:rPr>
              <w:t xml:space="preserve">(1)</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JP-5 (kerosene,  </w:t>
            </w:r>
            <w:r>
              <w:rPr>
                <w:color w:val="00274C"/>
                <w:position w:val="-2"/>
                <w:sz w:val="20"/>
                <w:szCs w:val="20"/>
                <w:u w:val="none"/>
              </w:rPr>
              <w:t xml:space="preserve">designazione militare USA</w:t>
            </w:r>
            <w:r>
              <w:rPr>
                <w:color w:val="00274C"/>
                <w:position w:val="-2"/>
                <w:sz w:val="20"/>
                <w:szCs w:val="20"/>
                <w:u w:val="none"/>
              </w:rPr>
              <w:t xml:space="preserve"> ) </w:t>
            </w:r>
            <w:r>
              <w:rPr>
                <w:b/>
                <w:bCs/>
                <w:color w:val="00274C"/>
                <w:position w:val="-2"/>
                <w:sz w:val="20"/>
                <w:szCs w:val="20"/>
                <w:u w:val="none"/>
              </w:rPr>
              <w:t xml:space="preserve">(1)</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Jet A / A1 (kerosene per aviazione civile)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Operazioni con carburanti per aerei: i carburanti per aerei possono essere utilizzati solo adottando un filtro carburante aggiuntivo con dosatore di lubrificazione. A causa della minore densità e della maggiore perdita di volume del carburante dovuto alla minore viscosità, a seconda del regime del motore e della coppia, è possibile una perdita di potenza fino al 10%. Tra i carburanti per aerei elencati ci sono alcune proprietà problematiche (viscosità, capacità lubrificanti e basso punto di ebollizione). È prevedibile un leggero aumento dell'usura nel sistema di iniezione, che può portare a una durata statisticamente più breve di questi componenti. Il contenuto di zolfo deve essere inferiore a 2000 ppm.</w:t>
            </w:r>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Additivi Carburante</w:t>
            </w:r>
          </w:p>
          <w:p/>
          <w:p/>
          <w:p>
            <w:pPr>
              <w:widowControl w:val="on"/>
              <w:pBdr/>
              <w:spacing w:before="0" w:after="0" w:line="262" w:lineRule="auto"/>
              <w:ind w:left="0" w:right="0"/>
              <w:jc w:val="left"/>
              <w:textAlignment w:val="center"/>
            </w:pPr>
            <w:r>
              <w:rPr>
                <w:color w:val="00274C"/>
                <w:position w:val="-2"/>
                <w:sz w:val="20"/>
                <w:szCs w:val="20"/>
                <w:u w:val="none"/>
              </w:rPr>
              <w:t xml:space="preserve">Al fine di mantenere le performance del circuito iniezione, Rehlko ha sviluppato una famiglia di prodotti additivi per il mercato Nord Americano.</w:t>
            </w:r>
          </w:p>
          <w:p/>
          <w:p/>
          <w:p>
            <w:pPr>
              <w:widowControl w:val="on"/>
              <w:pBdr/>
              <w:spacing w:before="0" w:after="0" w:line="262" w:lineRule="auto"/>
              <w:ind w:left="0" w:right="0"/>
              <w:jc w:val="left"/>
              <w:textAlignment w:val="center"/>
            </w:pPr>
            <w:r>
              <w:rPr>
                <w:color w:val="00274C"/>
                <w:position w:val="-2"/>
                <w:sz w:val="20"/>
                <w:szCs w:val="20"/>
                <w:u w:val="none"/>
              </w:rPr>
              <w:t xml:space="preserve">L' </w:t>
            </w:r>
            <w:r>
              <w:rPr>
                <w:b/>
                <w:bCs/>
                <w:color w:val="00274C"/>
                <w:position w:val="-2"/>
                <w:sz w:val="20"/>
                <w:szCs w:val="20"/>
                <w:u w:val="none"/>
              </w:rPr>
              <w:t xml:space="preserve">Extra Performance Fuel Additive Arctic Formula</w:t>
            </w:r>
            <w:r>
              <w:rPr>
                <w:color w:val="00274C"/>
                <w:position w:val="-2"/>
                <w:sz w:val="20"/>
                <w:szCs w:val="20"/>
                <w:u w:val="none"/>
              </w:rPr>
              <w:t xml:space="preserve"> per l'inverno, l' </w:t>
            </w:r>
            <w:r>
              <w:rPr>
                <w:b/>
                <w:bCs/>
                <w:color w:val="00274C"/>
                <w:position w:val="-2"/>
                <w:sz w:val="20"/>
                <w:szCs w:val="20"/>
                <w:u w:val="none"/>
              </w:rPr>
              <w:t xml:space="preserve">Extra Performance Fuel Additive</w:t>
            </w:r>
            <w:r>
              <w:rPr>
                <w:color w:val="00274C"/>
                <w:position w:val="-2"/>
                <w:sz w:val="20"/>
                <w:szCs w:val="20"/>
                <w:u w:val="none"/>
              </w:rPr>
              <w:t xml:space="preserve"> un pulitore di depositi dell'iniettore che ne previene la formazione. Contattare il tuo rivenditore Rehlko per la disponibilità.</w:t>
            </w:r>
          </w:p>
          <w:p/>
          <w:p/>
          <w:p>
            <w:pPr>
              <w:widowControl w:val="on"/>
              <w:pBdr/>
              <w:spacing w:before="0" w:after="0" w:line="262" w:lineRule="auto"/>
              <w:ind w:left="0" w:right="0"/>
              <w:jc w:val="left"/>
              <w:textAlignment w:val="center"/>
            </w:pPr>
            <w:r>
              <w:rPr>
                <w:b/>
                <w:bCs/>
                <w:color w:val="000000"/>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50735019" name="name43256a87f96ebf2d7"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3406a87f96ebf2d4"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diesel Rehlko Injector Cleaner prima di riempire il serbatoio una volta all'anno o ogni 500 ore con carburante estivo o invernale. Formulato per pulire i depositi dagli iniettori e lubrificare la pompa ad alta pressione e gli iniettori per ridurre l'usura, migliorando la qualità del carburante. Compatibile con tutti i sistemi di emissione dei gas di scarico, inclusi i filtri antiparticolato diesel (DPF). Seguire tutte le istruzioni raccomandate sull'etichetta del prodotto.</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 </w:t>
                  </w:r>
                  <w:r>
                    <w:rPr>
                      <w:color w:val="00274C"/>
                      <w:position w:val="-2"/>
                      <w:sz w:val="20"/>
                      <w:szCs w:val="20"/>
                      <w:u w:val="none"/>
                    </w:rPr>
                    <w:t xml:space="preserve">solo Nord America</w:t>
                  </w:r>
                  <w:r>
                    <w:rPr>
                      <w:color w:val="00274C"/>
                      <w:position w:val="-2"/>
                      <w:sz w:val="20"/>
                      <w:szCs w:val="20"/>
                      <w:u w:val="none"/>
                    </w:rPr>
                    <w:t xml:space="preserve"> )</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66439295" name="name60146a87f96ec7260"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10346a87f96ec725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Rehlko Extra Performance Arctic Formula, che contiene una sostanza chimica antigelo per trattare il carburante non invernale (n. 2-D in Nord America) durante la stagione fredda. Questo estende l'operatività a circa 10 °C (18 °F) al di sotto del punto di cristallizzazione delle paraffine. Per un'operatività a temperature ancora più basse, utilizzare carburante invernale. Trattare il carburante quando la temperatura esterna scende sotto gli 0 °C (32 °F). Per risultati ottimali, utilizzare carburante non trattato e seguire tutte le istruzioni raccomandate sull'etichetta del prodotto.</w:t>
                  </w:r>
                </w:p>
                <w:p/>
                <w:p/>
                <w:p>
                  <w:pPr>
                    <w:widowControl w:val="on"/>
                    <w:pBdr/>
                    <w:spacing w:before="0" w:after="0" w:line="262" w:lineRule="auto"/>
                    <w:ind w:left="0" w:right="0"/>
                    <w:jc w:val="left"/>
                    <w:textAlignment w:val="center"/>
                  </w:pPr>
                  <w:r>
                    <w:rPr>
                      <w:color w:val="00274C"/>
                      <w:position w:val="-2"/>
                      <w:sz w:val="20"/>
                      <w:szCs w:val="20"/>
                      <w:u w:val="none"/>
                    </w:rPr>
                    <w:t xml:space="preserve">Il punto di  </w:t>
                  </w:r>
                  <w:r>
                    <w:rPr>
                      <w:color w:val="00274C"/>
                      <w:position w:val="-2"/>
                      <w:sz w:val="20"/>
                      <w:szCs w:val="20"/>
                      <w:u w:val="none"/>
                    </w:rPr>
                    <w:t xml:space="preserve">cristallizzazione delle paraffine </w:t>
                  </w:r>
                  <w:r>
                    <w:rPr>
                      <w:color w:val="00274C"/>
                      <w:position w:val="-2"/>
                      <w:sz w:val="20"/>
                      <w:szCs w:val="20"/>
                      <w:u w:val="none"/>
                    </w:rPr>
                    <w:t xml:space="preserve"> è la temperatura alla quale la cera inizia a depositarsi nel carburante, causando l'intasamento dei filtri.</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Additivi carburanti con funzioni biocida/alghicida sono ammessi solo in caso di carburante stoccato in serbatoio per lunghi periodi (un anno o più).</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Per i prodotti suggeriti, contattare lo staff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additivi devono essere diluiti in percentuale secondo la prescrizione del prodotto durante il riempimento del serbatoio.</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Raccomandazioni sul refrigerante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È preferibile utilizzare il refrigerante prediluito Rehlko Xtended™ al 50% di glicole etilenico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719408" name="name89146a87f96ecf316"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0366a87f96ecf313"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Si raccomanda inoltre l'uso di refrigeranti conformi alle seguenti specifiche.</w:t>
            </w:r>
          </w:p>
          <w:p/>
          <w:p/>
          <w:p>
            <w:pPr>
              <w:widowControl w:val="on"/>
              <w:pBdr/>
              <w:spacing w:before="0" w:after="0" w:line="262" w:lineRule="auto"/>
              <w:ind w:left="0" w:right="0"/>
              <w:jc w:val="left"/>
              <w:textAlignment w:val="center"/>
            </w:pPr>
            <w:r>
              <w:rPr>
                <w:color w:val="00274C"/>
                <w:position w:val="-2"/>
                <w:sz w:val="20"/>
                <w:szCs w:val="20"/>
                <w:u w:val="none"/>
              </w:rPr>
              <w:t xml:space="preserve">Usare liquido refrigerante a base di una miscela composta dal 50% di acqua demineralizzata e dal 50% di glicole etilenico a basso contenuto di silicato. Usare un refrigerante OAT per impieghi gravosi di lunga durata o a durata prolungata privi di silicati, fosfati, borati, nitriti e ammine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Possono essere utilizzati i seguenti refrigeranti a base di glicole etilenico per tutti i modelli della famiglia di motori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OAT (Organic Acid Technology) a basso contenuto di silicati: </w:t>
            </w:r>
            <w:r>
              <w:rPr>
                <w:b/>
                <w:bCs/>
                <w:color w:val="00274C"/>
                <w:position w:val="-2"/>
                <w:sz w:val="20"/>
                <w:szCs w:val="20"/>
                <w:u w:val="none"/>
              </w:rPr>
              <w:t xml:space="preserve">ASTM D-3306 D-6210</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HOAT (Hybrid Organic Acid Technology) a basso contenuto di silicati: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di cui sopra, in formulazioni concentrate, devono essere miscelati con acqua distillata, deionizzata o demineralizzata. Se disponibile, può essere usata direttamente una formulazione premiscelata (al 40-60% o al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3769235" name="name50366a87f96ed68d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1686a87f96ed68d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Non mescolare refrigeranti a base di glicole etilenico e glicole propilenico. Non mescolare refrigeranti a base di OAT e HOAT. La durata delle prestazioni dei refrigeranti OAT può essere drasticamente ridotta se contaminati con refrigeranti contenenti nitriti.</w:t>
            </w:r>
          </w:p>
          <w:p>
            <w:pPr>
              <w:numPr>
                <w:ilvl w:val="0"/>
                <w:numId w:val="5006"/>
              </w:numPr>
              <w:spacing w:before="0" w:after="0" w:line="262" w:lineRule="auto"/>
              <w:jc w:val="left"/>
              <w:rPr>
                <w:color w:val="00274C"/>
                <w:sz w:val="20"/>
                <w:szCs w:val="20"/>
              </w:rPr>
            </w:pPr>
            <w:r>
              <w:rPr>
                <w:color w:val="00274C"/>
                <w:position w:val="-2"/>
                <w:sz w:val="20"/>
                <w:szCs w:val="20"/>
                <w:u w:val="none"/>
              </w:rPr>
              <w:t xml:space="preserve">Non usare refrigeranti per il settore automobilistico. Questi refrigeranti non contengono gli additivi giusti per proteggere i motori diesel per impieghi gravosi.</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OAT sono esenti da manutenzione fino a 5 anni o 4000 ore di funzionamento, purché l’impianto refrigerante sia rabboccato usando lo stesso tipo di refrigerante. Non miscelare diversi tipi di refrigerante. Testare annualmente le condizioni del refrigerante usando delle strisce per il controllo del refrigerante.</w:t>
            </w:r>
            <w:r>
              <w:rPr>
                <w:color w:val="00274C"/>
                <w:position w:val="-2"/>
                <w:sz w:val="20"/>
                <w:szCs w:val="20"/>
                <w:u w:val="none"/>
              </w:rPr>
              <w:br/>
              <w:t xml:space="preserve">I refrigeranti HOAT non sono tutti esenti da manutenzione e si raccomanda di aggiungere SCA (Supplemental Coolant Additive, additivi di raffreddamento supplementari) al primo intervallo di manutenzione.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Caratteristiche batterie</w:t>
      </w:r>
    </w:p>
    <w:p>
      <w:pPr>
        <w:widowControl w:val="on"/>
        <w:pBdr/>
        <w:spacing w:before="0" w:after="0" w:line="262" w:lineRule="auto"/>
        <w:ind w:left="0" w:right="0"/>
        <w:jc w:val="left"/>
      </w:pPr>
      <w:r>
        <w:rPr>
          <w:b/>
          <w:bCs/>
          <w:color w:val="00274C"/>
          <w:sz w:val="20"/>
          <w:szCs w:val="20"/>
          <w:u w:val="none"/>
        </w:rPr>
        <w:t xml:space="preserve">Batteria non di fornitura 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 CONSIGLIATE</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CONDIZIONI DI FUNZIONAMENTO STANDARD TEMPERATURA AMBIENTE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CAPACITÀ DELLA BATTERIA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CORRENTE DI SCARICA BATTERIA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CONDIZIONI DI FUNZIONAMENTO STANDARD TEMPERATURA AMBIENTE</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CAPACITÀ DELLA BATTERIA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CORRENTE DI SCARICA BATTERIA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007">
    <w:multiLevelType w:val="hybridMultilevel"/>
    <w:lvl w:ilvl="0" w:tplc="52089500">
      <w:start w:val="1"/>
      <w:numFmt w:val="decimal"/>
      <w:lvlText w:val="%1."/>
      <w:lvlJc w:val="left"/>
      <w:pPr>
        <w:ind w:left="720" w:hanging="360"/>
      </w:pPr>
    </w:lvl>
    <w:lvl w:ilvl="1" w:tplc="52089500" w:tentative="1">
      <w:start w:val="1"/>
      <w:numFmt w:val="lowerLetter"/>
      <w:lvlText w:val="%2."/>
      <w:lvlJc w:val="left"/>
      <w:pPr>
        <w:ind w:left="1440" w:hanging="360"/>
      </w:pPr>
    </w:lvl>
    <w:lvl w:ilvl="2" w:tplc="52089500" w:tentative="1">
      <w:start w:val="1"/>
      <w:numFmt w:val="lowerRoman"/>
      <w:lvlText w:val="%3."/>
      <w:lvlJc w:val="right"/>
      <w:pPr>
        <w:ind w:left="2160" w:hanging="180"/>
      </w:pPr>
    </w:lvl>
    <w:lvl w:ilvl="3" w:tplc="52089500" w:tentative="1">
      <w:start w:val="1"/>
      <w:numFmt w:val="decimal"/>
      <w:lvlText w:val="%4."/>
      <w:lvlJc w:val="left"/>
      <w:pPr>
        <w:ind w:left="2880" w:hanging="360"/>
      </w:pPr>
    </w:lvl>
    <w:lvl w:ilvl="4" w:tplc="52089500" w:tentative="1">
      <w:start w:val="1"/>
      <w:numFmt w:val="lowerLetter"/>
      <w:lvlText w:val="%5."/>
      <w:lvlJc w:val="left"/>
      <w:pPr>
        <w:ind w:left="3600" w:hanging="360"/>
      </w:pPr>
    </w:lvl>
    <w:lvl w:ilvl="5" w:tplc="52089500" w:tentative="1">
      <w:start w:val="1"/>
      <w:numFmt w:val="lowerRoman"/>
      <w:lvlText w:val="%6."/>
      <w:lvlJc w:val="right"/>
      <w:pPr>
        <w:ind w:left="4320" w:hanging="180"/>
      </w:pPr>
    </w:lvl>
    <w:lvl w:ilvl="6" w:tplc="52089500" w:tentative="1">
      <w:start w:val="1"/>
      <w:numFmt w:val="decimal"/>
      <w:lvlText w:val="%7."/>
      <w:lvlJc w:val="left"/>
      <w:pPr>
        <w:ind w:left="5040" w:hanging="360"/>
      </w:pPr>
    </w:lvl>
    <w:lvl w:ilvl="7" w:tplc="52089500" w:tentative="1">
      <w:start w:val="1"/>
      <w:numFmt w:val="lowerLetter"/>
      <w:lvlText w:val="%8."/>
      <w:lvlJc w:val="left"/>
      <w:pPr>
        <w:ind w:left="5760" w:hanging="360"/>
      </w:pPr>
    </w:lvl>
    <w:lvl w:ilvl="8" w:tplc="52089500" w:tentative="1">
      <w:start w:val="1"/>
      <w:numFmt w:val="lowerRoman"/>
      <w:lvlText w:val="%9."/>
      <w:lvlJc w:val="right"/>
      <w:pPr>
        <w:ind w:left="6480" w:hanging="180"/>
      </w:pPr>
    </w:lvl>
  </w:abstractNum>
  <w:abstractNum w:abstractNumId="5006">
    <w:multiLevelType w:val="hybridMultilevel"/>
    <w:lvl w:ilvl="0" w:tplc="26588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006">
    <w:abstractNumId w:val="5006"/>
  </w:num>
  <w:num w:numId="5007">
    <w:abstractNumId w:val="50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26604857" Type="http://schemas.openxmlformats.org/officeDocument/2006/relationships/comments" Target="comments.xml"/><Relationship Id="rId534950729" Type="http://schemas.microsoft.com/office/2011/relationships/commentsExtended" Target="commentsExtended.xml"/><Relationship Id="rId93876247" Type="http://schemas.openxmlformats.org/officeDocument/2006/relationships/image" Target="media/imgrId93876247.jpg"/><Relationship Id="rId12576a87f96e8e043" Type="http://schemas.openxmlformats.org/officeDocument/2006/relationships/hyperlink" Target="https://iservice.lombardini.it/jsp/Template2/manuale.jsp?id=203&amp;parent=1000" TargetMode="External"/><Relationship Id="rId42646a87f96e4fab5" Type="http://schemas.openxmlformats.org/officeDocument/2006/relationships/image" Target="media/imgrId42646a87f96e4fab5.png"/><Relationship Id="rId81276a87f96e61db5" Type="http://schemas.openxmlformats.org/officeDocument/2006/relationships/image" Target="media/imgrId81276a87f96e61db5.png"/><Relationship Id="rId27686a87f96e71ca9" Type="http://schemas.openxmlformats.org/officeDocument/2006/relationships/image" Target="media/imgrId27686a87f96e71ca9.png"/><Relationship Id="rId51726a87f96e80576" Type="http://schemas.openxmlformats.org/officeDocument/2006/relationships/image" Target="media/imgrId51726a87f96e80576.png"/><Relationship Id="rId72846a87f96e856e8" Type="http://schemas.openxmlformats.org/officeDocument/2006/relationships/image" Target="media/imgrId72846a87f96e856e8.jpg"/><Relationship Id="rId25816a87f96e8d3b2" Type="http://schemas.openxmlformats.org/officeDocument/2006/relationships/image" Target="media/imgrId25816a87f96e8d3b2.jpg"/><Relationship Id="rId93466a87f96e9598a" Type="http://schemas.openxmlformats.org/officeDocument/2006/relationships/image" Target="media/imgrId93466a87f96e9598a.jpg"/><Relationship Id="rId26496a87f96e9d814" Type="http://schemas.openxmlformats.org/officeDocument/2006/relationships/image" Target="media/imgrId26496a87f96e9d814.jpg"/><Relationship Id="rId89046a87f96ea4d30" Type="http://schemas.openxmlformats.org/officeDocument/2006/relationships/image" Target="media/imgrId89046a87f96ea4d30.jpg"/><Relationship Id="rId36606a87f96eac8b5" Type="http://schemas.openxmlformats.org/officeDocument/2006/relationships/image" Target="media/imgrId36606a87f96eac8b5.png"/><Relationship Id="rId43566a87f96eb4169" Type="http://schemas.openxmlformats.org/officeDocument/2006/relationships/image" Target="media/imgrId43566a87f96eb4169.png"/><Relationship Id="rId53406a87f96ebf2d4" Type="http://schemas.openxmlformats.org/officeDocument/2006/relationships/image" Target="media/imgrId53406a87f96ebf2d4.jpg"/><Relationship Id="rId10346a87f96ec725e" Type="http://schemas.openxmlformats.org/officeDocument/2006/relationships/image" Target="media/imgrId10346a87f96ec725e.jpg"/><Relationship Id="rId20366a87f96ecf313" Type="http://schemas.openxmlformats.org/officeDocument/2006/relationships/image" Target="media/imgrId20366a87f96ecf313.jpg"/><Relationship Id="rId21686a87f96ed68d5" Type="http://schemas.openxmlformats.org/officeDocument/2006/relationships/image" Target="media/imgrId21686a87f96ed68d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3876247" Type="http://schemas.openxmlformats.org/officeDocument/2006/relationships/image" Target="media/imgrId9387624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3876247" Type="http://schemas.openxmlformats.org/officeDocument/2006/relationships/image" Target="media/imgrId9387624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3876247" Type="http://schemas.openxmlformats.org/officeDocument/2006/relationships/image" Target="media/imgrId9387624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3876247" Type="http://schemas.openxmlformats.org/officeDocument/2006/relationships/image" Target="media/imgrId9387624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3876247" Type="http://schemas.openxmlformats.org/officeDocument/2006/relationships/image" Target="media/imgrId9387624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3876247" Type="http://schemas.openxmlformats.org/officeDocument/2006/relationships/image" Target="media/imgrId9387624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