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Technical information</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Owner Manual KDW 502 | 702 | 1003 | 1404 - K-HEM 1003 (Rev. 03.3)</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807200" cy="5110480"/>
            <wp:effectExtent l="0" t="127000" r="0" b="0"/>
            <wp:docPr id="543631969"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60034166" cstate="print"/>
                    <a:stretch>
                      <a:fillRect/>
                    </a:stretch>
                  </pic:blipFill>
                  <pic:spPr>
                    <a:xfrm>
                      <a:off x="0" y="0"/>
                      <a:ext cx="6807200" cy="511048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KDW 502-702-1003-1404 - K-HEM 1003</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12810103" w:name="ctxt"/>
    <w:bookmarkEnd w:id="12810103"/>
    <w:p>
      <w:pPr>
        <w:widowControl w:val="on"/>
        <w:pBdr/>
        <w:spacing w:before="75" w:after="75" w:line="240" w:lineRule="auto"/>
        <w:ind w:left="75" w:right="75"/>
        <w:jc w:val="left"/>
      </w:pPr>
    </w:p>
    <w:p>
      <w:pPr>
        <w:pStyle w:val="Titolo1"/>
      </w:pPr>
      <w:r>
        <w:rPr/>
        <w:t xml:space="preserve">Technical information</w:t>
      </w:r>
    </w:p>
    <w:p>
      <w:pPr>
        <w:widowControl w:val="on"/>
        <w:pBdr/>
        <w:spacing w:before="0" w:after="0" w:line="240" w:lineRule="auto"/>
        <w:ind w:left="0" w:right="0"/>
        <w:jc w:val="left"/>
      </w:pPr>
    </w:p>
    <w:p>
      <w:pPr>
        <w:pStyle w:val="Titolo2"/>
      </w:pPr>
      <w:r>
        <w:rPr/>
        <w:t xml:space="preserve">General description of the engine</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- 4-stroke, in-line cylinders Diesel engine; - Liquid-cooling system;</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- 2 valves per cylinder;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Indirect injection.</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specifications</w:t>
      </w:r>
    </w:p>
    <w:p>
      <w:pPr>
        <w:widowControl w:val="on"/>
        <w:pBdr/>
        <w:spacing w:before="0" w:after="0" w:line="262" w:lineRule="auto"/>
        <w:ind w:left="0" w:right="0"/>
        <w:jc w:val="left"/>
      </w:pPr>
      <w:r>
        <w:rPr>
          <w:b/>
          <w:bCs/>
          <w:color w:val="00274C"/>
          <w:sz w:val="20"/>
          <w:szCs w:val="20"/>
          <w:u w:val="none"/>
        </w:rPr>
        <w:t xml:space="preserve">Tab. 2.1</w:t>
      </w:r>
    </w:p>
    <w:tbl>
      <w:tblPr>
        <w:tblStyle w:val="NormalTablePHPDOCX"/>
        <w:tblCellMar>
          <w:left w:type="dxa" w:w="0"/>
          <w:right w:type="dxa" w:w="0"/>
        </w:tblCellMar>
        <w:tblW w:w="5000" w:type="pct"/>
        <w:tblInd w:w="0" w:type="auto"/>
        <w:tblBorders/>
      </w:tblPr>
      <w:tblGrid>
        <w:gridCol w:w="1"/>
        <w:gridCol w:w="1"/>
        <w:gridCol w:w="1"/>
        <w:gridCol w:w="1"/>
        <w:gridCol w:w="1"/>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TECHNICAL DATA</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UNIT OF MEASURE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r>
              <w:rPr>
                <w:position w:val="-61"/>
              </w:rPr>
              <w:drawing>
                <wp:inline distT="0" distB="0" distL="0" distR="0">
                  <wp:extent cx="1123200" cy="842400"/>
                  <wp:effectExtent b="0" l="0" r="0" t="0"/>
                  <wp:docPr id="71154379" name="name97116a8949731153c" descr="_.OM_Cap_2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OM_Cap_2_01.png"/>
                          <pic:cNvPicPr/>
                        </pic:nvPicPr>
                        <pic:blipFill>
                          <a:blip r:embed="rId79216a89497311536" cstate="print"/>
                          <a:stretch>
                            <a:fillRect/>
                          </a:stretch>
                        </pic:blipFill>
                        <pic:spPr>
                          <a:xfrm>
                            <a:off x="0" y="0"/>
                            <a:ext cx="1123200" cy="8424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r>
              <w:rPr>
                <w:position w:val="-61"/>
              </w:rPr>
              <w:drawing>
                <wp:inline distT="0" distB="0" distL="0" distR="0">
                  <wp:extent cx="1123200" cy="842400"/>
                  <wp:effectExtent b="0" l="0" r="0" t="0"/>
                  <wp:docPr id="71842439" name="name66866a89497333e52" descr="_.OM_Cap_2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OM_Cap_2_01.png"/>
                          <pic:cNvPicPr/>
                        </pic:nvPicPr>
                        <pic:blipFill>
                          <a:blip r:embed="rId87096a89497333e4e" cstate="print"/>
                          <a:stretch>
                            <a:fillRect/>
                          </a:stretch>
                        </pic:blipFill>
                        <pic:spPr>
                          <a:xfrm>
                            <a:off x="0" y="0"/>
                            <a:ext cx="1123200" cy="8424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r>
              <w:rPr>
                <w:position w:val="-62"/>
              </w:rPr>
              <w:drawing>
                <wp:inline distT="0" distB="0" distL="0" distR="0">
                  <wp:extent cx="1137600" cy="849600"/>
                  <wp:effectExtent b="0" l="0" r="0" t="0"/>
                  <wp:docPr id="82710260" name="name23586a8949735b020" descr="_.OM_Cap_2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OM_Cap_2_02.png"/>
                          <pic:cNvPicPr/>
                        </pic:nvPicPr>
                        <pic:blipFill>
                          <a:blip r:embed="rId70256a8949735b01b" cstate="print"/>
                          <a:stretch>
                            <a:fillRect/>
                          </a:stretch>
                        </pic:blipFill>
                        <pic:spPr>
                          <a:xfrm>
                            <a:off x="0" y="0"/>
                            <a:ext cx="1137600" cy="8496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r>
              <w:rPr>
                <w:position w:val="-63"/>
              </w:rPr>
              <w:drawing>
                <wp:inline distT="0" distB="0" distL="0" distR="0">
                  <wp:extent cx="1144800" cy="856800"/>
                  <wp:effectExtent b="0" l="0" r="0" t="0"/>
                  <wp:docPr id="24076431" name="name47936a8949737c96c" descr="_.OM_Cap_2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OM_Cap_2_03.png"/>
                          <pic:cNvPicPr/>
                        </pic:nvPicPr>
                        <pic:blipFill>
                          <a:blip r:embed="rId98636a8949737c967" cstate="print"/>
                          <a:stretch>
                            <a:fillRect/>
                          </a:stretch>
                        </pic:blipFill>
                        <pic:spPr>
                          <a:xfrm>
                            <a:off x="0" y="0"/>
                            <a:ext cx="1144800" cy="856800"/>
                          </a:xfrm>
                          <a:prstGeom prst="rect">
                            <a:avLst/>
                          </a:prstGeom>
                          <a:ln w="0">
                            <a:noFill/>
                          </a:ln>
                        </pic:spPr>
                      </pic:pic>
                    </a:graphicData>
                  </a:graphic>
                </wp:inline>
              </w:drawing>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Engine type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KDW 502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KDW 702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KDW 1003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KDW 1404</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Cylinders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Bore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75</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Stroke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77.6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77.6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77.6</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Displacement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505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686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1028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1372</w:t>
            </w:r>
          </w:p>
        </w:tc>
      </w:tr>
      <w:tr>
        <w:trPr>
          <w:trHeight w:val="0" w:hRule="atLeast"/>
        </w:trPr>
        <w:tc>
          <w:tcPr>
            <w:tcW w:w="0" w:type="auto"/>
            <w:gridSpan w:val="2"/>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MAX INCLINATION DURING OPERATION (even in combined)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α</w:t>
            </w:r>
          </w:p>
        </w:tc>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25° max. 30 min.</w:t>
            </w:r>
          </w:p>
        </w:tc>
      </w:tr>
      <w:tr>
        <w:trPr>
          <w:trHeight w:val="0" w:hRule="atLeast"/>
        </w:trPr>
        <w:tc>
          <w:tcPr>
            <w:gridSpan w:val="2"/>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α</w:t>
            </w:r>
          </w:p>
        </w:tc>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35° max.1 min.</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OIL CAPACITY (MAX level.)</w:t>
            </w: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 - </w:t>
            </w: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filter included</w:t>
            </w:r>
          </w:p>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standard oil sump</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3.2</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enhanced </w:t>
            </w: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oil sump</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5.2</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OIL CAPACITY (MAX level.)</w:t>
            </w: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 - </w:t>
            </w: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without filter</w:t>
            </w:r>
          </w:p>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standard </w:t>
            </w: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oil sump</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3.0</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enhanced </w:t>
            </w: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oil sump</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5.1</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DRY WEIGHT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98</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dimensions (mm)</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97"/>
              </w:rPr>
              <w:drawing>
                <wp:inline distT="0" distB="0" distL="0" distR="0">
                  <wp:extent cx="2527200" cy="2527200"/>
                  <wp:effectExtent b="0" l="0" r="0" t="0"/>
                  <wp:docPr id="99046906" name="name94846a8949738b862" descr="Cap_2_04_Tavola_disegno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04_Tavola_disegno_1.png"/>
                          <pic:cNvPicPr/>
                        </pic:nvPicPr>
                        <pic:blipFill>
                          <a:blip r:embed="rId86056a8949738b85e" cstate="print"/>
                          <a:stretch>
                            <a:fillRect/>
                          </a:stretch>
                        </pic:blipFill>
                        <pic:spPr>
                          <a:xfrm>
                            <a:off x="0" y="0"/>
                            <a:ext cx="2527200" cy="2527200"/>
                          </a:xfrm>
                          <a:prstGeom prst="rect">
                            <a:avLst/>
                          </a:prstGeom>
                          <a:ln w="0">
                            <a:noFill/>
                          </a:ln>
                        </pic:spPr>
                      </pic:pic>
                    </a:graphicData>
                  </a:graphic>
                </wp:inline>
              </w:drawing>
            </w:r>
            <w:r>
              <w:rPr>
                <w:color w:val="00274C"/>
                <w:position w:val="-2"/>
                <w:sz w:val="20"/>
                <w:szCs w:val="20"/>
                <w:u w:val="none"/>
              </w:rPr>
              <w:t xml:space="preserve"> </w:t>
            </w:r>
            <w:r>
              <w:rPr>
                <w:position w:val="-197"/>
              </w:rPr>
              <w:drawing>
                <wp:inline distT="0" distB="0" distL="0" distR="0">
                  <wp:extent cx="2527200" cy="2527200"/>
                  <wp:effectExtent b="0" l="0" r="0" t="0"/>
                  <wp:docPr id="75917200" name="name85326a89497394cd6" descr="Cap_2_09_Tavola_disegno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09_Tavola_disegno_1.png"/>
                          <pic:cNvPicPr/>
                        </pic:nvPicPr>
                        <pic:blipFill>
                          <a:blip r:embed="rId41806a89497394cd3" cstate="print"/>
                          <a:stretch>
                            <a:fillRect/>
                          </a:stretch>
                        </pic:blipFill>
                        <pic:spPr>
                          <a:xfrm>
                            <a:off x="0" y="0"/>
                            <a:ext cx="2527200" cy="25272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KDW 502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KDW 702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KDW 1003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KDW 1404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X</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387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412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Y</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490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516</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Z</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426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421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596</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Y1*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562.35 =(Y+72.35)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588.35 = (Y+72.35)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588.35 = (Y+72.35)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588.35 = (Y+72.35)</w:t>
                  </w:r>
                </w:p>
              </w:tc>
            </w:tr>
          </w:tbl>
          <w:p/>
          <w:p/>
          <w:p/>
          <w:p>
            <w:pPr>
              <w:widowControl w:val="on"/>
              <w:pBdr/>
              <w:spacing w:before="0" w:after="0" w:line="262" w:lineRule="auto"/>
              <w:ind w:left="0" w:right="0"/>
              <w:jc w:val="left"/>
              <w:textAlignment w:val="center"/>
            </w:pPr>
            <w:r>
              <w:rPr>
                <w:b/>
                <w:bCs/>
                <w:color w:val="00274C"/>
                <w:position w:val="-2"/>
                <w:sz w:val="20"/>
                <w:szCs w:val="20"/>
                <w:u w:val="none"/>
              </w:rPr>
              <w:t xml:space="preserve">Y1* = </w:t>
            </w:r>
            <w:r>
              <w:rPr>
                <w:color w:val="00274C"/>
                <w:position w:val="-2"/>
                <w:sz w:val="20"/>
                <w:szCs w:val="20"/>
                <w:u w:val="none"/>
              </w:rPr>
              <w:t xml:space="preserve"> </w:t>
            </w:r>
            <w:r>
              <w:rPr>
                <w:b/>
                <w:bCs/>
                <w:color w:val="00274C"/>
                <w:position w:val="-2"/>
                <w:sz w:val="20"/>
                <w:szCs w:val="20"/>
                <w:u w:val="none"/>
              </w:rPr>
              <w:t xml:space="preserve">Deep oil sump</w:t>
            </w:r>
          </w:p>
          <w:p/>
          <w:p/>
          <w:p/>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 Dimensions vary according to engine configuration.</w:t>
            </w:r>
          </w:p>
          <w:p/>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Oil</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49200804" name="name96866a8949739f814"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86706a8949739f811"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Important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numPr>
          <w:ilvl w:val="0"/>
          <w:numId w:val="18794"/>
        </w:numPr>
        <w:spacing w:before="0" w:after="0" w:line="240" w:lineRule="auto"/>
        <w:jc w:val="left"/>
        <w:rPr>
          <w:color w:val="00274C"/>
          <w:sz w:val="20"/>
          <w:szCs w:val="20"/>
        </w:rPr>
      </w:pPr>
      <w:r>
        <w:rPr>
          <w:color w:val="00274C"/>
          <w:sz w:val="20"/>
          <w:szCs w:val="20"/>
          <w:u w:val="none"/>
        </w:rPr>
        <w:t xml:space="preserve">The engine may be damaged if operated with improper oil level.</w:t>
      </w:r>
    </w:p>
    <w:p>
      <w:pPr>
        <w:numPr>
          <w:ilvl w:val="0"/>
          <w:numId w:val="18794"/>
        </w:numPr>
        <w:spacing w:before="0" w:after="0" w:line="240" w:lineRule="auto"/>
        <w:jc w:val="left"/>
        <w:rPr>
          <w:color w:val="00274C"/>
          <w:sz w:val="20"/>
          <w:szCs w:val="20"/>
        </w:rPr>
      </w:pPr>
      <w:r>
        <w:rPr>
          <w:color w:val="00274C"/>
          <w:sz w:val="20"/>
          <w:szCs w:val="20"/>
          <w:u w:val="none"/>
        </w:rPr>
        <w:t xml:space="preserve">Do not exceed the  </w:t>
      </w:r>
      <w:r>
        <w:rPr>
          <w:b/>
          <w:bCs/>
          <w:color w:val="00274C"/>
          <w:sz w:val="20"/>
          <w:szCs w:val="20"/>
          <w:u w:val="none"/>
        </w:rPr>
        <w:t xml:space="preserve">MAX</w:t>
      </w:r>
      <w:r>
        <w:rPr>
          <w:color w:val="00274C"/>
          <w:sz w:val="20"/>
          <w:szCs w:val="20"/>
          <w:u w:val="none"/>
        </w:rPr>
        <w:t xml:space="preserve">  level because a sudden increase in engine rpm could be caused by its combustion.</w:t>
      </w:r>
    </w:p>
    <w:p>
      <w:pPr>
        <w:numPr>
          <w:ilvl w:val="0"/>
          <w:numId w:val="18794"/>
        </w:numPr>
        <w:spacing w:before="0" w:after="0" w:line="240" w:lineRule="auto"/>
        <w:jc w:val="left"/>
        <w:rPr>
          <w:color w:val="00274C"/>
          <w:sz w:val="20"/>
          <w:szCs w:val="20"/>
        </w:rPr>
      </w:pPr>
      <w:r>
        <w:rPr>
          <w:color w:val="00274C"/>
          <w:sz w:val="20"/>
          <w:szCs w:val="20"/>
          <w:u w:val="none"/>
        </w:rPr>
        <w:t xml:space="preserve">Use only the recommended oil to ensure adequate protection, efficiency and service life of the engine.</w:t>
      </w:r>
    </w:p>
    <w:p>
      <w:pPr>
        <w:numPr>
          <w:ilvl w:val="0"/>
          <w:numId w:val="18794"/>
        </w:numPr>
        <w:spacing w:before="0" w:after="0" w:line="240" w:lineRule="auto"/>
        <w:jc w:val="left"/>
        <w:rPr>
          <w:color w:val="00274C"/>
          <w:sz w:val="20"/>
          <w:szCs w:val="20"/>
        </w:rPr>
      </w:pPr>
      <w:r>
        <w:rPr>
          <w:color w:val="00274C"/>
          <w:sz w:val="20"/>
          <w:szCs w:val="20"/>
          <w:u w:val="none"/>
        </w:rPr>
        <w:t xml:space="preserve">The use of lubricants other than recommended may shorten the engine life.</w:t>
      </w:r>
    </w:p>
    <w:p>
      <w:pPr>
        <w:numPr>
          <w:ilvl w:val="0"/>
          <w:numId w:val="18794"/>
        </w:numPr>
        <w:spacing w:before="0" w:after="0" w:line="240" w:lineRule="auto"/>
        <w:jc w:val="left"/>
        <w:rPr>
          <w:color w:val="00274C"/>
          <w:sz w:val="20"/>
          <w:szCs w:val="20"/>
        </w:rPr>
      </w:pPr>
      <w:r>
        <w:rPr>
          <w:color w:val="00274C"/>
          <w:sz w:val="20"/>
          <w:szCs w:val="20"/>
          <w:u w:val="none"/>
        </w:rPr>
        <w:t xml:space="preserve">Viscosity must be appropriate to the ambient temperature to which the engine is to be exposed.</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84533445" name="name62776a894973a7059"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95006a894973a7056"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Danger</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18794"/>
        </w:numPr>
        <w:spacing w:before="0" w:after="0" w:line="240" w:lineRule="auto"/>
        <w:jc w:val="left"/>
        <w:rPr>
          <w:color w:val="00274C"/>
          <w:sz w:val="20"/>
          <w:szCs w:val="20"/>
        </w:rPr>
      </w:pPr>
      <w:r>
        <w:rPr>
          <w:color w:val="00274C"/>
          <w:sz w:val="20"/>
          <w:szCs w:val="20"/>
          <w:u w:val="none"/>
        </w:rPr>
        <w:t xml:space="preserve">Prolonged skin contact with the exhausted engine oil can cause cancer of the skin.</w:t>
      </w:r>
    </w:p>
    <w:p>
      <w:pPr>
        <w:numPr>
          <w:ilvl w:val="0"/>
          <w:numId w:val="18794"/>
        </w:numPr>
        <w:spacing w:before="0" w:after="0" w:line="240" w:lineRule="auto"/>
        <w:jc w:val="left"/>
        <w:rPr>
          <w:color w:val="00274C"/>
          <w:sz w:val="20"/>
          <w:szCs w:val="20"/>
        </w:rPr>
      </w:pPr>
      <w:r>
        <w:rPr>
          <w:color w:val="00274C"/>
          <w:sz w:val="20"/>
          <w:szCs w:val="20"/>
          <w:u w:val="none"/>
        </w:rPr>
        <w:t xml:space="preserve">If contact with oil cannot be avoided, thoroughly wash your hands with soap and water as soon as possible.</w:t>
      </w:r>
    </w:p>
    <w:p>
      <w:pPr>
        <w:numPr>
          <w:ilvl w:val="0"/>
          <w:numId w:val="18794"/>
        </w:numPr>
        <w:spacing w:before="0" w:after="0" w:line="240" w:lineRule="auto"/>
        <w:jc w:val="left"/>
        <w:rPr>
          <w:color w:val="00274C"/>
          <w:sz w:val="20"/>
          <w:szCs w:val="20"/>
        </w:rPr>
      </w:pPr>
      <w:r>
        <w:rPr>
          <w:color w:val="00274C"/>
          <w:sz w:val="20"/>
          <w:szCs w:val="20"/>
          <w:u w:val="none"/>
        </w:rPr>
        <w:t xml:space="preserve">For the exhausted oil disposal, refer to the  </w:t>
      </w:r>
      <w:r>
        <w:rPr>
          <w:b/>
          <w:bCs/>
          <w:color w:val="00274C"/>
          <w:sz w:val="20"/>
          <w:szCs w:val="20"/>
          <w:u w:val="none"/>
        </w:rPr>
        <w:t xml:space="preserve">Par. </w:t>
      </w:r>
      <w:r>
        <w:rPr>
          <w:color w:val="00274C"/>
          <w:sz w:val="20"/>
          <w:szCs w:val="20"/>
          <w:u w:val="none"/>
        </w:rPr>
        <w:t xml:space="preserve"> </w:t>
      </w:r>
      <w:r>
        <w:rPr>
          <w:b/>
          <w:bCs/>
          <w:color w:val="00274C"/>
          <w:sz w:val="20"/>
          <w:szCs w:val="20"/>
          <w:u w:val="none"/>
        </w:rPr>
        <w:t xml:space="preserve">DISPOSAL and SCRAPPING</w:t>
      </w: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br/>
        <w:br/>
        <w:t xml:space="preserve">2.4.1 SAE oil classification</w:t>
      </w:r>
    </w:p>
    <w:p>
      <w:pPr>
        <w:numPr>
          <w:ilvl w:val="0"/>
          <w:numId w:val="18794"/>
        </w:numPr>
        <w:spacing w:before="0" w:after="0" w:line="240" w:lineRule="auto"/>
        <w:jc w:val="left"/>
        <w:rPr>
          <w:color w:val="00274C"/>
          <w:sz w:val="20"/>
          <w:szCs w:val="20"/>
        </w:rPr>
      </w:pPr>
      <w:r>
        <w:rPr>
          <w:color w:val="00274C"/>
          <w:sz w:val="20"/>
          <w:szCs w:val="20"/>
          <w:u w:val="none"/>
        </w:rPr>
        <w:t xml:space="preserve">In the SAE classification, oils are identified according to viscosity without considering any other qualitative characteristic.</w:t>
      </w:r>
    </w:p>
    <w:p>
      <w:pPr>
        <w:numPr>
          <w:ilvl w:val="0"/>
          <w:numId w:val="18794"/>
        </w:numPr>
        <w:spacing w:before="0" w:after="0" w:line="240" w:lineRule="auto"/>
        <w:jc w:val="left"/>
        <w:rPr>
          <w:color w:val="00274C"/>
          <w:sz w:val="20"/>
          <w:szCs w:val="20"/>
        </w:rPr>
      </w:pPr>
      <w:r>
        <w:rPr>
          <w:color w:val="00274C"/>
          <w:sz w:val="20"/>
          <w:szCs w:val="20"/>
          <w:u w:val="none"/>
        </w:rPr>
        <w:t xml:space="preserve">The code is composed of two numbers, which indicate, and must correspond to, the ambient temperature in which the engine operates, the first number refers to the viscosity when cold, for use during winter (" </w:t>
      </w:r>
      <w:r>
        <w:rPr>
          <w:b/>
          <w:bCs/>
          <w:color w:val="00274C"/>
          <w:sz w:val="20"/>
          <w:szCs w:val="20"/>
          <w:u w:val="none"/>
        </w:rPr>
        <w:t xml:space="preserve">W</w:t>
      </w:r>
      <w:r>
        <w:rPr>
          <w:color w:val="00274C"/>
          <w:sz w:val="20"/>
          <w:szCs w:val="20"/>
          <w:u w:val="none"/>
        </w:rPr>
        <w:t xml:space="preserve"> "), while the second number is for viscosity at high temperatures.</w:t>
      </w:r>
    </w:p>
    <w:p>
      <w:pPr>
        <w:widowControl w:val="on"/>
        <w:pBdr/>
        <w:spacing w:before="0" w:after="0" w:line="262" w:lineRule="auto"/>
        <w:ind w:left="0" w:right="0"/>
        <w:jc w:val="left"/>
      </w:pPr>
      <w:r>
        <w:rPr>
          <w:color w:val="00274C"/>
          <w:sz w:val="20"/>
          <w:szCs w:val="20"/>
          <w:u w:val="none"/>
        </w:rPr>
        <w:t xml:space="preserve">Use oil viscosity based on the experienced air temperature range during the period between oil changes as indicated</w:t>
      </w:r>
    </w:p>
    <w:p>
      <w:pPr>
        <w:widowControl w:val="on"/>
        <w:pBdr/>
        <w:spacing w:before="0" w:after="0" w:line="262" w:lineRule="auto"/>
        <w:ind w:left="0" w:right="0"/>
        <w:jc w:val="left"/>
      </w:pPr>
      <w:r>
        <w:rPr>
          <w:color w:val="00274C"/>
          <w:sz w:val="20"/>
          <w:szCs w:val="20"/>
          <w:u w:val="none"/>
        </w:rPr>
        <w:t xml:space="preserve">in the table below.</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0000"/>
          <w:sz w:val="20"/>
          <w:szCs w:val="20"/>
          <w:u w:val="none"/>
        </w:rPr>
        <w:t xml:space="preserve">Rehlko X-treme 5W-40</w:t>
      </w:r>
      <w:r>
        <w:rPr>
          <w:color w:val="000000"/>
          <w:sz w:val="20"/>
          <w:szCs w:val="20"/>
          <w:u w:val="none"/>
        </w:rPr>
        <w:t xml:space="preserve"> oil is preferred</w:t>
      </w:r>
      <w:r>
        <w:rPr>
          <w:color w:val="00274C"/>
          <w:sz w:val="20"/>
          <w:szCs w:val="20"/>
          <w:u w:val="none"/>
        </w:rPr>
        <w:t xml:space="preserve"> </w:t>
      </w:r>
      <w:r>
        <w:rPr>
          <w:color w:val="00274C"/>
          <w:sz w:val="20"/>
          <w:szCs w:val="20"/>
          <w:u w:val="none"/>
        </w:rPr>
        <w:t xml:space="preserve">:</w:t>
      </w:r>
    </w:p>
    <w:p>
      <w:pPr>
        <w:widowControl w:val="on"/>
        <w:pBdr/>
        <w:spacing w:before="0" w:after="0" w:line="262" w:lineRule="auto"/>
        <w:ind w:left="0" w:right="0"/>
        <w:jc w:val="left"/>
      </w:pPr>
      <w:r>
        <w:rPr>
          <w:color w:val="00274C"/>
          <w:sz w:val="20"/>
          <w:szCs w:val="20"/>
          <w:u w:val="none"/>
        </w:rPr>
        <w:t xml:space="preserve"> </w:t>
      </w:r>
    </w:p>
    <w:p>
      <w:pPr>
        <w:widowControl w:val="on"/>
        <w:pBdr/>
        <w:spacing w:before="225" w:after="225" w:line="262" w:lineRule="auto"/>
        <w:ind w:left="0" w:right="0"/>
        <w:jc w:val="left"/>
      </w:pPr>
      <w:r>
        <w:drawing>
          <wp:inline distT="0" distB="0" distL="0" distR="0">
            <wp:extent cx="2844000" cy="4456800"/>
            <wp:effectExtent b="0" l="0" r="0" t="0"/>
            <wp:docPr id="58957856" name="name53936a894973afca1" descr="Rehlko_Extreme%2520Conditions%25205W40%2520Oil%2520-%2520NA%2520-%252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Extreme%2520Conditions%25205W40%2520Oil%2520-%2520NA%2520-%25202.jpg"/>
                    <pic:cNvPicPr/>
                  </pic:nvPicPr>
                  <pic:blipFill>
                    <a:blip r:embed="rId93006a894973afc9e" cstate="print"/>
                    <a:stretch>
                      <a:fillRect/>
                    </a:stretch>
                  </pic:blipFill>
                  <pic:spPr>
                    <a:xfrm>
                      <a:off x="0" y="0"/>
                      <a:ext cx="2844000" cy="4456800"/>
                    </a:xfrm>
                    <a:prstGeom prst="rect">
                      <a:avLst/>
                    </a:prstGeom>
                    <a:ln w="0">
                      <a:noFill/>
                    </a:ln>
                  </pic:spPr>
                </pic:pic>
              </a:graphicData>
            </a:graphic>
          </wp:inline>
        </w:drawing>
      </w:r>
    </w:p>
    <w:p>
      <w:pPr>
        <w:widowControl w:val="on"/>
        <w:pBdr/>
        <w:spacing w:before="0" w:after="0" w:line="262" w:lineRule="auto"/>
        <w:ind w:left="0" w:right="0"/>
        <w:jc w:val="left"/>
      </w:pPr>
      <w:r>
        <w:rPr>
          <w:b/>
          <w:bCs/>
          <w:color w:val="00274C"/>
          <w:sz w:val="20"/>
          <w:szCs w:val="20"/>
          <w:u w:val="none"/>
        </w:rPr>
        <w:t xml:space="preserve">Oils meeting the following specifications are also recommended.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2.2</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RECCOMENDED OIL</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WITH SPECIFICATIONS</w:t>
            </w:r>
            <w:r>
              <w:rPr>
                <w:b/>
                <w:bCs/>
                <w:color w:val="FFFFFF"/>
                <w:position w:val="-2"/>
                <w:sz w:val="20"/>
                <w:szCs w:val="20"/>
                <w:u w:val="none"/>
                <w:shd w:val="clear" w:color="auto" w:fill="1985FF"/>
              </w:rPr>
              <w:t xml:space="preserve"> </w:t>
            </w:r>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API</w:t>
            </w:r>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SJ/CF 4</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b/>
                <w:bCs/>
                <w:color w:val="00274C"/>
                <w:position w:val="-2"/>
                <w:sz w:val="20"/>
                <w:szCs w:val="20"/>
                <w:u w:val="none"/>
                <w:shd w:val="clear" w:color="auto" w:fill="E1E2E0"/>
              </w:rPr>
              <w:t xml:space="preserve">ACEA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A3-96</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B3-96</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b/>
                <w:bCs/>
                <w:color w:val="00274C"/>
                <w:position w:val="-2"/>
                <w:sz w:val="20"/>
                <w:szCs w:val="20"/>
                <w:u w:val="none"/>
                <w:shd w:val="clear" w:color="auto" w:fill="E1E2E0"/>
              </w:rPr>
              <w:t xml:space="preserve">MIL</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L-46152 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VISCOSITY</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b/>
                <w:bCs/>
                <w:color w:val="00274C"/>
                <w:position w:val="-2"/>
                <w:sz w:val="20"/>
                <w:szCs w:val="20"/>
                <w:u w:val="none"/>
                <w:shd w:val="clear" w:color="auto" w:fill="E1E2E0"/>
              </w:rPr>
              <w:t xml:space="preserve">SAE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5w-40 (-30°C ÷ +40°C)</w:t>
            </w:r>
          </w:p>
        </w:tc>
      </w:tr>
    </w:tbl>
    <w:p>
      <w:pPr>
        <w:widowControl w:val="on"/>
        <w:pBdr/>
        <w:spacing w:before="0" w:after="0" w:line="262" w:lineRule="auto"/>
        <w:ind w:left="0" w:right="0"/>
        <w:jc w:val="left"/>
      </w:pPr>
      <w:r>
        <w:rPr>
          <w:color w:val="00274C"/>
          <w:sz w:val="20"/>
          <w:szCs w:val="20"/>
          <w:u w:val="none"/>
        </w:rPr>
        <w:t xml:space="preserve"> </w:t>
      </w:r>
    </w:p>
    <w:p>
      <w:pPr>
        <w:numPr>
          <w:ilvl w:val="0"/>
          <w:numId w:val="18794"/>
        </w:numPr>
        <w:spacing w:before="0" w:after="0" w:line="240" w:lineRule="auto"/>
        <w:jc w:val="left"/>
        <w:rPr>
          <w:color w:val="00274C"/>
          <w:sz w:val="20"/>
          <w:szCs w:val="20"/>
        </w:rPr>
      </w:pPr>
      <w:r>
        <w:rPr>
          <w:color w:val="00274C"/>
          <w:sz w:val="20"/>
          <w:szCs w:val="20"/>
          <w:u w:val="none"/>
        </w:rPr>
        <w:t xml:space="preserve">Filtration of oils is critical to proper operation and lubrication; always change filters regularly as specified in this manual.</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Fuel</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98108367" name="name64726a894973b7296"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17006a894973b7294"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18794"/>
              </w:numPr>
              <w:spacing w:before="0" w:after="0" w:line="262" w:lineRule="auto"/>
              <w:jc w:val="left"/>
              <w:rPr>
                <w:color w:val="00274C"/>
                <w:sz w:val="20"/>
                <w:szCs w:val="20"/>
              </w:rPr>
            </w:pPr>
            <w:r>
              <w:rPr>
                <w:color w:val="00274C"/>
                <w:position w:val="-2"/>
                <w:sz w:val="20"/>
                <w:szCs w:val="20"/>
                <w:u w:val="none"/>
              </w:rPr>
              <w:t xml:space="preserve">Use of other types of fuel could damage the engine. Do not use dirty diesel fuel or mixtures of diesel fuel and water since this will cause serious engine faults.</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40"/>
              </w:rPr>
              <w:drawing>
                <wp:inline distT="0" distB="0" distL="0" distR="0">
                  <wp:extent cx="324000" cy="324000"/>
                  <wp:effectExtent b="0" l="0" r="0" t="0"/>
                  <wp:docPr id="61701371" name="name25886a894973bef17" descr="Avvertenz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vertenza.png"/>
                          <pic:cNvPicPr/>
                        </pic:nvPicPr>
                        <pic:blipFill>
                          <a:blip r:embed="rId35816a894973bef14"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Warning</w:t>
            </w:r>
          </w:p>
          <w:p>
            <w:pPr>
              <w:numPr>
                <w:ilvl w:val="0"/>
                <w:numId w:val="18794"/>
              </w:numPr>
              <w:spacing w:before="0" w:after="0" w:line="262" w:lineRule="auto"/>
              <w:jc w:val="left"/>
              <w:rPr>
                <w:color w:val="00274C"/>
                <w:sz w:val="20"/>
                <w:szCs w:val="20"/>
              </w:rPr>
            </w:pPr>
            <w:r>
              <w:rPr>
                <w:color w:val="00274C"/>
                <w:position w:val="0"/>
                <w:sz w:val="20"/>
                <w:szCs w:val="20"/>
                <w:u w:val="none"/>
              </w:rPr>
              <w:t xml:space="preserve">Clean fuel prevents the fuel injectors from clogging. Immediately clean up any spillage during refuelling. </w:t>
            </w:r>
          </w:p>
          <w:p>
            <w:pPr>
              <w:numPr>
                <w:ilvl w:val="0"/>
                <w:numId w:val="18794"/>
              </w:numPr>
              <w:spacing w:before="0" w:after="0" w:line="262" w:lineRule="auto"/>
              <w:jc w:val="left"/>
              <w:rPr>
                <w:color w:val="00274C"/>
                <w:sz w:val="20"/>
                <w:szCs w:val="20"/>
              </w:rPr>
            </w:pPr>
            <w:r>
              <w:rPr>
                <w:color w:val="00274C"/>
                <w:position w:val="0"/>
                <w:sz w:val="20"/>
                <w:szCs w:val="20"/>
                <w:u w:val="none"/>
              </w:rPr>
              <w:t xml:space="preserve">Never store diesel fuel in galvanized containers (i.e. coated with zinc). Diesel fuel and the galvanized coating react chemically to each other, producing flaking that quickly clogs filters or causes fuel pump and/or injector failure.</w:t>
            </w:r>
          </w:p>
          <w:p>
            <w:pPr>
              <w:numPr>
                <w:ilvl w:val="0"/>
                <w:numId w:val="18794"/>
              </w:numPr>
              <w:spacing w:before="0" w:after="0" w:line="262" w:lineRule="auto"/>
              <w:jc w:val="left"/>
              <w:rPr>
                <w:color w:val="00274C"/>
                <w:sz w:val="20"/>
                <w:szCs w:val="20"/>
              </w:rPr>
            </w:pPr>
            <w:r>
              <w:rPr>
                <w:color w:val="00274C"/>
                <w:position w:val="0"/>
                <w:sz w:val="20"/>
                <w:szCs w:val="20"/>
                <w:u w:val="none"/>
              </w:rPr>
              <w:t xml:space="preserve">Any failure resulting from the use of fuel other than </w:t>
            </w:r>
            <w:r>
              <w:rPr>
                <w:b/>
                <w:bCs/>
                <w:color w:val="00274C"/>
                <w:position w:val="0"/>
                <w:sz w:val="20"/>
                <w:szCs w:val="20"/>
                <w:u w:val="none"/>
              </w:rPr>
              <w:t xml:space="preserve">Tab. 2.3, 2.4</w:t>
            </w:r>
            <w:r>
              <w:rPr>
                <w:color w:val="00274C"/>
                <w:position w:val="0"/>
                <w:sz w:val="20"/>
                <w:szCs w:val="20"/>
                <w:u w:val="none"/>
              </w:rPr>
              <w:t xml:space="preserve">  will not be covered by warranty.</w:t>
            </w:r>
          </w:p>
        </w:tc>
      </w:tr>
      <w:tr>
        <w:trPr>
          <w:trHeight w:val="0" w:hRule="atLeast"/>
        </w:trPr>
        <w:tc>
          <w:tcPr>
            <w:tcW w:w="0" w:type="auto"/>
            <w:gridSpan w:val="3"/>
            <w:tcMar>
              <w:top w:w="150" w:type="dxa"/>
              <w:left w:w="150" w:type="dxa"/>
              <w:bottom w:w="150" w:type="dxa"/>
              <w:right w:w="150" w:type="dxa"/>
            </w:tcMar>
            <w:vAlign w:val="center"/>
          </w:tcPr>
          <w:p/>
          <w:p/>
          <w:p>
            <w:pPr>
              <w:widowControl w:val="on"/>
              <w:pBdr/>
              <w:spacing w:before="0" w:after="0" w:line="262" w:lineRule="auto"/>
              <w:ind w:left="0" w:right="0"/>
              <w:jc w:val="left"/>
              <w:textAlignment w:val="center"/>
            </w:pPr>
            <w:r>
              <w:rPr>
                <w:b/>
                <w:bCs/>
                <w:color w:val="00274C"/>
                <w:position w:val="-2"/>
                <w:sz w:val="20"/>
                <w:szCs w:val="20"/>
                <w:u w:val="none"/>
              </w:rPr>
              <w:t xml:space="preserve">Cetane number of 40 minimum. Cetane number greater than 47 is preferred, especially for temperatures below –20 °C (–4 °F) or elevations above 1675 m (5500 ft.).</w:t>
            </w:r>
          </w:p>
          <w:p/>
          <w:p/>
          <w:p>
            <w:pPr>
              <w:widowControl w:val="on"/>
              <w:pBdr/>
              <w:spacing w:before="0" w:after="0" w:line="262" w:lineRule="auto"/>
              <w:ind w:left="0" w:right="0"/>
              <w:jc w:val="left"/>
              <w:textAlignment w:val="center"/>
            </w:pPr>
            <w:r>
              <w:rPr>
                <w:b/>
                <w:bCs/>
                <w:color w:val="00274C"/>
                <w:position w:val="-2"/>
                <w:sz w:val="20"/>
                <w:szCs w:val="20"/>
                <w:u w:val="none"/>
              </w:rPr>
              <w:t xml:space="preserve">Highly Regulated Engines (EU, USA, CANADA, JAPAN, CHINA, INDIA)</w:t>
            </w:r>
          </w:p>
          <w:p>
            <w:pPr>
              <w:numPr>
                <w:ilvl w:val="0"/>
                <w:numId w:val="18794"/>
              </w:numPr>
              <w:spacing w:before="0" w:after="0" w:line="262" w:lineRule="auto"/>
              <w:jc w:val="left"/>
              <w:rPr>
                <w:color w:val="00274C"/>
                <w:sz w:val="20"/>
                <w:szCs w:val="20"/>
              </w:rPr>
            </w:pPr>
            <w:r>
              <w:rPr>
                <w:color w:val="00274C"/>
                <w:position w:val="-2"/>
                <w:sz w:val="20"/>
                <w:szCs w:val="20"/>
                <w:u w:val="none"/>
              </w:rPr>
              <w:t xml:space="preserve">EU EN 590</w:t>
            </w:r>
          </w:p>
          <w:p>
            <w:pPr>
              <w:numPr>
                <w:ilvl w:val="0"/>
                <w:numId w:val="18794"/>
              </w:numPr>
              <w:spacing w:before="0" w:after="0" w:line="262" w:lineRule="auto"/>
              <w:jc w:val="left"/>
              <w:rPr>
                <w:color w:val="00274C"/>
                <w:sz w:val="20"/>
                <w:szCs w:val="20"/>
              </w:rPr>
            </w:pPr>
            <w:r>
              <w:rPr>
                <w:color w:val="00274C"/>
                <w:position w:val="-2"/>
                <w:sz w:val="20"/>
                <w:szCs w:val="20"/>
                <w:u w:val="none"/>
              </w:rPr>
              <w:t xml:space="preserve">North America ASTM D975 No. 2-D S15; No. 1-D S15</w:t>
            </w:r>
          </w:p>
          <w:p>
            <w:pPr>
              <w:numPr>
                <w:ilvl w:val="0"/>
                <w:numId w:val="18794"/>
              </w:numPr>
              <w:spacing w:before="0" w:after="0" w:line="262" w:lineRule="auto"/>
              <w:jc w:val="left"/>
              <w:rPr>
                <w:color w:val="00274C"/>
                <w:sz w:val="20"/>
                <w:szCs w:val="20"/>
              </w:rPr>
            </w:pPr>
            <w:r>
              <w:rPr>
                <w:color w:val="00274C"/>
                <w:position w:val="-2"/>
                <w:sz w:val="20"/>
                <w:szCs w:val="20"/>
                <w:u w:val="none"/>
              </w:rPr>
              <w:t xml:space="preserve">Japan JIS K 2204 No. 1; No. 2</w:t>
            </w:r>
          </w:p>
          <w:p>
            <w:pPr>
              <w:numPr>
                <w:ilvl w:val="0"/>
                <w:numId w:val="18794"/>
              </w:numPr>
              <w:spacing w:before="0" w:after="0" w:line="262" w:lineRule="auto"/>
              <w:jc w:val="left"/>
              <w:rPr>
                <w:color w:val="00274C"/>
                <w:sz w:val="20"/>
                <w:szCs w:val="20"/>
              </w:rPr>
            </w:pPr>
            <w:r>
              <w:rPr>
                <w:color w:val="00274C"/>
                <w:position w:val="-2"/>
                <w:sz w:val="20"/>
                <w:szCs w:val="20"/>
                <w:u w:val="none"/>
              </w:rPr>
              <w:t xml:space="preserve">India BS-V ULSD; BS-VI ULSD</w:t>
            </w:r>
          </w:p>
          <w:p>
            <w:pPr>
              <w:numPr>
                <w:ilvl w:val="0"/>
                <w:numId w:val="18794"/>
              </w:numPr>
              <w:spacing w:before="0" w:after="0" w:line="262" w:lineRule="auto"/>
              <w:jc w:val="left"/>
              <w:rPr>
                <w:color w:val="00274C"/>
                <w:sz w:val="20"/>
                <w:szCs w:val="20"/>
              </w:rPr>
            </w:pPr>
            <w:r>
              <w:rPr>
                <w:color w:val="00274C"/>
                <w:position w:val="-2"/>
                <w:sz w:val="20"/>
                <w:szCs w:val="20"/>
                <w:u w:val="none"/>
              </w:rPr>
              <w:t xml:space="preserve">China GB 19147-2016 ULSD; GB 17691—2018 ULSD</w:t>
            </w:r>
          </w:p>
          <w:p>
            <w:pPr>
              <w:numPr>
                <w:ilvl w:val="0"/>
                <w:numId w:val="18794"/>
              </w:numPr>
              <w:spacing w:before="0" w:after="0" w:line="262" w:lineRule="auto"/>
              <w:jc w:val="left"/>
              <w:rPr>
                <w:color w:val="00274C"/>
                <w:sz w:val="20"/>
                <w:szCs w:val="20"/>
              </w:rPr>
            </w:pPr>
            <w:r>
              <w:rPr>
                <w:color w:val="00274C"/>
                <w:position w:val="-2"/>
                <w:sz w:val="20"/>
                <w:szCs w:val="20"/>
                <w:u w:val="none"/>
              </w:rPr>
              <w:t xml:space="preserve">HVO EN 15940 or ASTM D975</w:t>
            </w:r>
          </w:p>
          <w:p>
            <w:pPr>
              <w:numPr>
                <w:ilvl w:val="0"/>
                <w:numId w:val="18794"/>
              </w:numPr>
              <w:spacing w:before="0" w:after="0" w:line="262" w:lineRule="auto"/>
              <w:jc w:val="left"/>
              <w:rPr>
                <w:color w:val="00274C"/>
                <w:sz w:val="20"/>
                <w:szCs w:val="20"/>
              </w:rPr>
            </w:pPr>
            <w:r>
              <w:rPr>
                <w:color w:val="00274C"/>
                <w:position w:val="-2"/>
                <w:sz w:val="20"/>
                <w:szCs w:val="20"/>
                <w:u w:val="none"/>
              </w:rPr>
              <w:t xml:space="preserve">Military NATO fuel F-54 S &lt; 10ppm</w:t>
            </w:r>
          </w:p>
          <w:p>
            <w:pPr>
              <w:widowControl w:val="on"/>
              <w:pBdr/>
              <w:spacing w:before="0" w:after="0" w:line="262" w:lineRule="auto"/>
              <w:ind w:left="0" w:right="0"/>
              <w:jc w:val="left"/>
              <w:textAlignment w:val="center"/>
            </w:pPr>
            <w:r>
              <w:rPr>
                <w:b/>
                <w:bCs/>
                <w:color w:val="00274C"/>
                <w:position w:val="-2"/>
                <w:sz w:val="20"/>
                <w:szCs w:val="20"/>
                <w:u w:val="none"/>
              </w:rPr>
              <w:t xml:space="preserve">Less or Not Regulated Engines (Rest of the World and Military applications)</w:t>
            </w:r>
          </w:p>
          <w:p>
            <w:pPr>
              <w:numPr>
                <w:ilvl w:val="0"/>
                <w:numId w:val="18794"/>
              </w:numPr>
              <w:spacing w:before="0" w:after="0" w:line="262" w:lineRule="auto"/>
              <w:jc w:val="left"/>
              <w:rPr>
                <w:color w:val="00274C"/>
                <w:sz w:val="20"/>
                <w:szCs w:val="20"/>
              </w:rPr>
            </w:pPr>
            <w:r>
              <w:rPr>
                <w:color w:val="00274C"/>
                <w:position w:val="-2"/>
                <w:sz w:val="20"/>
                <w:szCs w:val="20"/>
                <w:u w:val="none"/>
              </w:rPr>
              <w:t xml:space="preserve">Equivalent to all above specification</w:t>
            </w:r>
          </w:p>
          <w:p>
            <w:pPr>
              <w:numPr>
                <w:ilvl w:val="0"/>
                <w:numId w:val="18794"/>
              </w:numPr>
              <w:spacing w:before="0" w:after="0" w:line="262" w:lineRule="auto"/>
              <w:jc w:val="left"/>
              <w:rPr>
                <w:color w:val="00274C"/>
                <w:sz w:val="20"/>
                <w:szCs w:val="20"/>
              </w:rPr>
            </w:pPr>
            <w:r>
              <w:rPr>
                <w:color w:val="00274C"/>
                <w:position w:val="-2"/>
                <w:sz w:val="20"/>
                <w:szCs w:val="20"/>
                <w:u w:val="none"/>
              </w:rPr>
              <w:t xml:space="preserve">Equivalent to all above specification but with Suplhur &lt; 500ppm</w:t>
            </w:r>
          </w:p>
          <w:p>
            <w:pPr>
              <w:numPr>
                <w:ilvl w:val="0"/>
                <w:numId w:val="18794"/>
              </w:numPr>
              <w:spacing w:before="0" w:after="0" w:line="262" w:lineRule="auto"/>
              <w:jc w:val="left"/>
              <w:rPr>
                <w:color w:val="00274C"/>
                <w:sz w:val="20"/>
                <w:szCs w:val="20"/>
              </w:rPr>
            </w:pPr>
            <w:r>
              <w:rPr>
                <w:color w:val="00274C"/>
                <w:position w:val="-2"/>
                <w:sz w:val="20"/>
                <w:szCs w:val="20"/>
                <w:u w:val="none"/>
              </w:rPr>
              <w:t xml:space="preserve">Equivalent to all above specification but with Suplhur &lt; 2000ppm</w:t>
            </w:r>
          </w:p>
          <w:p>
            <w:pPr>
              <w:numPr>
                <w:ilvl w:val="0"/>
                <w:numId w:val="18794"/>
              </w:numPr>
              <w:spacing w:before="0" w:after="0" w:line="262" w:lineRule="auto"/>
              <w:jc w:val="left"/>
              <w:rPr>
                <w:color w:val="00274C"/>
                <w:sz w:val="20"/>
                <w:szCs w:val="20"/>
              </w:rPr>
            </w:pPr>
            <w:r>
              <w:rPr>
                <w:color w:val="00274C"/>
                <w:position w:val="-2"/>
                <w:sz w:val="20"/>
                <w:szCs w:val="20"/>
                <w:u w:val="none"/>
              </w:rPr>
              <w:t xml:space="preserve">F-34/F-35 (kerosene NATO designation) </w:t>
            </w:r>
            <w:r>
              <w:rPr>
                <w:b/>
                <w:bCs/>
                <w:color w:val="00274C"/>
                <w:position w:val="-2"/>
                <w:sz w:val="20"/>
                <w:szCs w:val="20"/>
                <w:u w:val="none"/>
              </w:rPr>
              <w:t xml:space="preserve">(1)</w:t>
            </w:r>
          </w:p>
          <w:p>
            <w:pPr>
              <w:numPr>
                <w:ilvl w:val="0"/>
                <w:numId w:val="18794"/>
              </w:numPr>
              <w:spacing w:before="0" w:after="0" w:line="262" w:lineRule="auto"/>
              <w:jc w:val="left"/>
              <w:rPr>
                <w:color w:val="00274C"/>
                <w:sz w:val="20"/>
                <w:szCs w:val="20"/>
              </w:rPr>
            </w:pPr>
            <w:r>
              <w:rPr>
                <w:color w:val="00274C"/>
                <w:position w:val="-2"/>
                <w:sz w:val="20"/>
                <w:szCs w:val="20"/>
                <w:u w:val="none"/>
              </w:rPr>
              <w:t xml:space="preserve">F-44 (kerosene, NATO designation) </w:t>
            </w:r>
            <w:r>
              <w:rPr>
                <w:b/>
                <w:bCs/>
                <w:color w:val="00274C"/>
                <w:position w:val="-2"/>
                <w:sz w:val="20"/>
                <w:szCs w:val="20"/>
                <w:u w:val="none"/>
              </w:rPr>
              <w:t xml:space="preserve">(1)</w:t>
            </w:r>
          </w:p>
          <w:p>
            <w:pPr>
              <w:numPr>
                <w:ilvl w:val="0"/>
                <w:numId w:val="18794"/>
              </w:numPr>
              <w:spacing w:before="0" w:after="0" w:line="262" w:lineRule="auto"/>
              <w:jc w:val="left"/>
              <w:rPr>
                <w:color w:val="00274C"/>
                <w:sz w:val="20"/>
                <w:szCs w:val="20"/>
              </w:rPr>
            </w:pPr>
            <w:r>
              <w:rPr>
                <w:color w:val="00274C"/>
                <w:position w:val="-2"/>
                <w:sz w:val="20"/>
                <w:szCs w:val="20"/>
                <w:u w:val="none"/>
              </w:rPr>
              <w:t xml:space="preserve">F-63 (kerosene, NATO designation, equivalent to F-34/F-35 with additives </w:t>
            </w:r>
            <w:r>
              <w:rPr>
                <w:b/>
                <w:bCs/>
                <w:color w:val="00274C"/>
                <w:position w:val="-2"/>
                <w:sz w:val="20"/>
                <w:szCs w:val="20"/>
                <w:u w:val="none"/>
              </w:rPr>
              <w:t xml:space="preserve">(1)</w:t>
            </w:r>
          </w:p>
          <w:p>
            <w:pPr>
              <w:numPr>
                <w:ilvl w:val="0"/>
                <w:numId w:val="18794"/>
              </w:numPr>
              <w:spacing w:before="0" w:after="0" w:line="262" w:lineRule="auto"/>
              <w:jc w:val="left"/>
              <w:rPr>
                <w:color w:val="00274C"/>
                <w:sz w:val="20"/>
                <w:szCs w:val="20"/>
              </w:rPr>
            </w:pPr>
            <w:r>
              <w:rPr>
                <w:color w:val="00274C"/>
                <w:position w:val="-2"/>
                <w:sz w:val="20"/>
                <w:szCs w:val="20"/>
                <w:u w:val="none"/>
              </w:rPr>
              <w:t xml:space="preserve">JP-8 (kerosene, US military designation) </w:t>
            </w:r>
            <w:r>
              <w:rPr>
                <w:b/>
                <w:bCs/>
                <w:color w:val="00274C"/>
                <w:position w:val="-2"/>
                <w:sz w:val="20"/>
                <w:szCs w:val="20"/>
                <w:u w:val="none"/>
              </w:rPr>
              <w:t xml:space="preserve">(1)</w:t>
            </w:r>
          </w:p>
          <w:p>
            <w:pPr>
              <w:numPr>
                <w:ilvl w:val="0"/>
                <w:numId w:val="18794"/>
              </w:numPr>
              <w:spacing w:before="0" w:after="0" w:line="262" w:lineRule="auto"/>
              <w:jc w:val="left"/>
              <w:rPr>
                <w:color w:val="00274C"/>
                <w:sz w:val="20"/>
                <w:szCs w:val="20"/>
              </w:rPr>
            </w:pPr>
            <w:r>
              <w:rPr>
                <w:color w:val="00274C"/>
                <w:position w:val="-2"/>
                <w:sz w:val="20"/>
                <w:szCs w:val="20"/>
                <w:u w:val="none"/>
              </w:rPr>
              <w:t xml:space="preserve">JP-5 (kerosene, US military designation) </w:t>
            </w:r>
            <w:r>
              <w:rPr>
                <w:b/>
                <w:bCs/>
                <w:color w:val="00274C"/>
                <w:position w:val="-2"/>
                <w:sz w:val="20"/>
                <w:szCs w:val="20"/>
                <w:u w:val="none"/>
              </w:rPr>
              <w:t xml:space="preserve">(1)</w:t>
            </w:r>
          </w:p>
          <w:p>
            <w:pPr>
              <w:numPr>
                <w:ilvl w:val="0"/>
                <w:numId w:val="18794"/>
              </w:numPr>
              <w:spacing w:before="0" w:after="0" w:line="262" w:lineRule="auto"/>
              <w:jc w:val="left"/>
              <w:rPr>
                <w:color w:val="00274C"/>
                <w:sz w:val="20"/>
                <w:szCs w:val="20"/>
              </w:rPr>
            </w:pPr>
            <w:r>
              <w:rPr>
                <w:color w:val="00274C"/>
                <w:position w:val="-2"/>
                <w:sz w:val="20"/>
                <w:szCs w:val="20"/>
                <w:u w:val="none"/>
              </w:rPr>
              <w:t xml:space="preserve">Jet A / A1 (kerosene for civil aviation) </w:t>
            </w:r>
            <w:r>
              <w:rPr>
                <w:b/>
                <w:bCs/>
                <w:color w:val="00274C"/>
                <w:position w:val="-2"/>
                <w:sz w:val="20"/>
                <w:szCs w:val="20"/>
                <w:u w:val="none"/>
              </w:rPr>
              <w:t xml:space="preserve">(1)</w:t>
            </w:r>
          </w:p>
          <w:p>
            <w:pPr>
              <w:widowControl w:val="on"/>
              <w:pBdr/>
              <w:spacing w:before="0" w:after="0" w:line="262" w:lineRule="auto"/>
              <w:ind w:left="0" w:right="0"/>
              <w:jc w:val="left"/>
              <w:textAlignment w:val="center"/>
            </w:pPr>
            <w:r>
              <w:rPr>
                <w:b/>
                <w:bCs/>
                <w:color w:val="00274C"/>
                <w:position w:val="-2"/>
                <w:sz w:val="20"/>
                <w:szCs w:val="20"/>
                <w:u w:val="none"/>
              </w:rPr>
              <w:t xml:space="preserve">(1)</w:t>
            </w:r>
            <w:r>
              <w:rPr>
                <w:color w:val="00274C"/>
                <w:position w:val="-2"/>
                <w:sz w:val="20"/>
                <w:szCs w:val="20"/>
                <w:u w:val="none"/>
              </w:rPr>
              <w:t xml:space="preserve"> Operations with Jet Fuels: The jet fuels can be used but only adopting an additional fuel filter with lubricity doser. Because of lower density and greater leak fuel volume due to lower viscosity, depending on the engine speed and torque, a power loss up to 10% is possible. There are some problematical fuel proprieties amongst the listed jet fuels (viscosity, lubricating capacities and low boiling point). A slight increase in wear in the injection system is to be expected which can lead to a statistically shorter life of these components. Sulphur content must be below 2000ppm</w:t>
            </w:r>
          </w:p>
          <w:p/>
          <w:p/>
          <w:p/>
          <w:p/>
          <w:p>
            <w:pPr>
              <w:widowControl w:val="on"/>
              <w:pBdr/>
              <w:spacing w:before="0" w:after="0" w:line="262" w:lineRule="auto"/>
              <w:ind w:left="0" w:right="0"/>
              <w:jc w:val="left"/>
              <w:textAlignment w:val="center"/>
            </w:pPr>
            <w:r>
              <w:rPr>
                <w:b/>
                <w:bCs/>
                <w:color w:val="00274C"/>
                <w:position w:val="-2"/>
                <w:sz w:val="20"/>
                <w:szCs w:val="20"/>
                <w:u w:val="none"/>
              </w:rPr>
              <w:t xml:space="preserve">2.5.1 Fuel Additives</w:t>
            </w:r>
          </w:p>
          <w:p>
            <w:pPr>
              <w:widowControl w:val="on"/>
              <w:pBdr/>
              <w:spacing w:before="0" w:after="0" w:line="262" w:lineRule="auto"/>
              <w:ind w:left="0" w:right="0"/>
              <w:jc w:val="left"/>
              <w:textAlignment w:val="center"/>
            </w:pPr>
            <w:r>
              <w:rPr>
                <w:color w:val="00274C"/>
                <w:position w:val="-2"/>
                <w:sz w:val="20"/>
                <w:szCs w:val="20"/>
                <w:u w:val="none"/>
              </w:rPr>
              <w:t xml:space="preserve">To aid in maintaining performance of the engines injection system, Rehlko has developed a family of fuel additives product for North America market.</w:t>
            </w:r>
          </w:p>
          <w:p>
            <w:pPr>
              <w:widowControl w:val="on"/>
              <w:pBdr/>
              <w:spacing w:before="0" w:after="0" w:line="262" w:lineRule="auto"/>
              <w:ind w:left="0" w:right="0"/>
              <w:jc w:val="left"/>
              <w:textAlignment w:val="center"/>
            </w:pPr>
            <w:r>
              <w:rPr>
                <w:color w:val="00274C"/>
                <w:position w:val="-2"/>
                <w:sz w:val="20"/>
                <w:szCs w:val="20"/>
                <w:u w:val="none"/>
              </w:rPr>
              <w:t xml:space="preserve">The Extra Performance Fuel Additive Arctic Formula a fuel conditioner in winter, the Extra Performance Fuel Additive a fuel injector deposit removal and prevention. See your local Rehlko dealer for availability.</w:t>
            </w:r>
          </w:p>
          <w:p/>
          <w:p/>
          <w:p>
            <w:pPr>
              <w:widowControl w:val="on"/>
              <w:pBdr/>
              <w:spacing w:before="0" w:after="0" w:line="262" w:lineRule="auto"/>
              <w:ind w:left="0" w:right="0"/>
              <w:jc w:val="left"/>
              <w:textAlignment w:val="center"/>
            </w:pPr>
            <w:r>
              <w:rPr>
                <w:b/>
                <w:bCs/>
                <w:color w:val="00274C"/>
                <w:position w:val="-2"/>
                <w:sz w:val="20"/>
                <w:szCs w:val="20"/>
                <w:u w:val="none"/>
              </w:rPr>
              <w:t xml:space="preserve">2.3</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Extra Performance Fuel Additive</w:t>
                  </w:r>
                </w:p>
                <w:p>
                  <w:pPr>
                    <w:widowControl w:val="on"/>
                    <w:pBdr/>
                    <w:spacing w:before="0" w:after="0" w:line="262" w:lineRule="auto"/>
                    <w:ind w:left="0" w:right="0"/>
                    <w:jc w:val="left"/>
                    <w:textAlignment w:val="center"/>
                  </w:pPr>
                  <w:r>
                    <w:rPr>
                      <w:color w:val="00274C"/>
                      <w:position w:val="-2"/>
                      <w:sz w:val="20"/>
                      <w:szCs w:val="20"/>
                      <w:u w:val="none"/>
                    </w:rPr>
                    <w:t xml:space="preserve">(North America only)</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r>
                    <w:rPr>
                      <w:position w:val="-620"/>
                    </w:rPr>
                    <w:drawing>
                      <wp:inline distT="0" distB="0" distL="0" distR="0">
                        <wp:extent cx="1591200" cy="3924000"/>
                        <wp:effectExtent b="0" l="0" r="0" t="0"/>
                        <wp:docPr id="26949285" name="name35366a894973c9ae3" descr="Rehlko_Extra%2520Performance%2520Fuel%2520Additive%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Extra%2520Performance%2520Fuel%2520Additive%2520-%2520NA.jpg"/>
                                <pic:cNvPicPr/>
                              </pic:nvPicPr>
                              <pic:blipFill>
                                <a:blip r:embed="rId59056a894973c9ae0" cstate="print"/>
                                <a:stretch>
                                  <a:fillRect/>
                                </a:stretch>
                              </pic:blipFill>
                              <pic:spPr>
                                <a:xfrm>
                                  <a:off x="0" y="0"/>
                                  <a:ext cx="1591200" cy="3924000"/>
                                </a:xfrm>
                                <a:prstGeom prst="rect">
                                  <a:avLst/>
                                </a:prstGeom>
                                <a:ln w="0">
                                  <a:noFill/>
                                </a:ln>
                              </pic:spPr>
                            </pic:pic>
                          </a:graphicData>
                        </a:graphic>
                      </wp:inline>
                    </w:drawing>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Use Rehlko Injector Cleaner Diesel Fuel Additive before filling the tank once a year or every 500hrs with summer or winter grade fuel. Formulated to clean deposits from injectors and provide lubrication to high pressure pump and injectors to reduce wear, increasing fuel quality. Compatible with all exhaust emission system, including diesel particulate filters (DPFs). Follow all recommended instruction on product label.</w:t>
                  </w:r>
                </w:p>
              </w:tc>
              <w:tc>
                <w:tcPr>
                  <w:gridSpan w:val="1"/>
                  <w:vMerge w:val="continue"/>
                  <w:tcBorders>
                    <w:top w:val="single" w:color="CCCCCC" w:sz="5"/>
                    <w:left w:val="single" w:color="CCCCCC" w:sz="5"/>
                    <w:bottom w:val="single" w:color="CCCCCC" w:sz="5"/>
                    <w:right w:val="single" w:color="CCCCCC" w:sz="5"/>
                  </w:tcBorders>
                </w:tcP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Extra Performance Fuel Additive Arctic Formula</w:t>
                  </w:r>
                </w:p>
                <w:p>
                  <w:pPr>
                    <w:widowControl w:val="on"/>
                    <w:pBdr/>
                    <w:spacing w:before="0" w:after="0" w:line="262" w:lineRule="auto"/>
                    <w:ind w:left="0" w:right="0"/>
                    <w:jc w:val="left"/>
                    <w:textAlignment w:val="center"/>
                  </w:pPr>
                  <w:r>
                    <w:rPr>
                      <w:color w:val="00274C"/>
                      <w:position w:val="-2"/>
                      <w:sz w:val="20"/>
                      <w:szCs w:val="20"/>
                      <w:u w:val="none"/>
                    </w:rPr>
                    <w:t xml:space="preserve">(North America only)</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center"/>
                    <w:textAlignment w:val="top"/>
                  </w:pPr>
                  <w:r>
                    <w:rPr>
                      <w:position w:val="-732"/>
                    </w:rPr>
                    <w:drawing>
                      <wp:inline distT="0" distB="0" distL="0" distR="0">
                        <wp:extent cx="1864800" cy="4622400"/>
                        <wp:effectExtent b="0" l="0" r="0" t="0"/>
                        <wp:docPr id="73437879" name="name75286a894973d1cb9" descr="Rehlko_Fuel%2520Additive%2520Arctic%2520Formula%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Fuel%2520Additive%2520Arctic%2520Formula%2520-%2520NA.jpg"/>
                                <pic:cNvPicPr/>
                              </pic:nvPicPr>
                              <pic:blipFill>
                                <a:blip r:embed="rId75266a894973d1cb6" cstate="print"/>
                                <a:stretch>
                                  <a:fillRect/>
                                </a:stretch>
                              </pic:blipFill>
                              <pic:spPr>
                                <a:xfrm>
                                  <a:off x="0" y="0"/>
                                  <a:ext cx="1864800" cy="4622400"/>
                                </a:xfrm>
                                <a:prstGeom prst="rect">
                                  <a:avLst/>
                                </a:prstGeom>
                                <a:ln w="0">
                                  <a:noFill/>
                                </a:ln>
                              </pic:spPr>
                            </pic:pic>
                          </a:graphicData>
                        </a:graphic>
                      </wp:inline>
                    </w:drawing>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Use Rehlko Extra Performance Fuel Additive Arctic Formula, which contains anti-gel chemistry to treat non-winter grad fuel (No. 2-D in North America) during the cold-weather season. This extends the operability to about 10°C (18°F) below the could point. For operability at even lower temperatures, use winter grade fuel. Treat the fuel when the outside temperature drops below 0°C (32°F). For best results, use untreated fuel and follow all recommended instruction on product label.</w:t>
                  </w:r>
                </w:p>
                <w:p>
                  <w:pPr>
                    <w:widowControl w:val="on"/>
                    <w:pBdr/>
                    <w:spacing w:before="0" w:after="0" w:line="262" w:lineRule="auto"/>
                    <w:ind w:left="0" w:right="0"/>
                    <w:jc w:val="left"/>
                    <w:textAlignment w:val="center"/>
                  </w:pPr>
                  <w:r>
                    <w:rPr>
                      <w:color w:val="00274C"/>
                      <w:position w:val="-2"/>
                      <w:sz w:val="20"/>
                      <w:szCs w:val="20"/>
                      <w:u w:val="none"/>
                    </w:rPr>
                    <w:t xml:space="preserve">Cloud point is the temperature at which wax begins to from in the fuel causing filters to plug.</w:t>
                  </w:r>
                </w:p>
              </w:tc>
              <w:tc>
                <w:tcPr>
                  <w:gridSpan w:val="1"/>
                  <w:vMerge w:val="continue"/>
                  <w:tcBorders>
                    <w:top w:val="single" w:color="CCCCCC" w:sz="5"/>
                    <w:left w:val="single" w:color="CCCCCC" w:sz="5"/>
                    <w:bottom w:val="single" w:color="CCCCCC" w:sz="5"/>
                    <w:right w:val="single" w:color="CCCCCC" w:sz="5"/>
                  </w:tcBorders>
                </w:tcP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Fuel additives with biocide/algaecide functions are allowed in case of storage of fuel in the tank for long periods (one year or more).</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color w:val="00274C"/>
                      <w:position w:val="0"/>
                      <w:sz w:val="20"/>
                      <w:szCs w:val="20"/>
                      <w:u w:val="none"/>
                    </w:rPr>
                    <w:t xml:space="preserve">For suggested brands and types contact Rehlko staff</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These additives must be diluted in the fuel following the product prescribed percentages when filling the tank.</w:t>
                  </w:r>
                </w:p>
              </w:tc>
              <w:tc>
                <w:tcPr>
                  <w:gridSpan w:val="1"/>
                  <w:vMerge w:val="continue"/>
                  <w:tcBorders>
                    <w:top w:val="single" w:color="CCCCCC" w:sz="5"/>
                    <w:left w:val="single" w:color="CCCCCC" w:sz="5"/>
                    <w:bottom w:val="single" w:color="CCCCCC" w:sz="5"/>
                    <w:right w:val="single" w:color="CCCCCC" w:sz="5"/>
                  </w:tcBorders>
                </w:tcPr>
                <w:p/>
              </w:tc>
            </w:tr>
          </w:tbl>
          <w:p/>
          <w:p>
            <w:pPr>
              <w:widowControl w:val="on"/>
              <w:pBdr/>
              <w:spacing w:before="0" w:after="0" w:line="262" w:lineRule="auto"/>
              <w:ind w:left="0" w:right="0"/>
              <w:jc w:val="left"/>
              <w:textAlignment w:val="center"/>
            </w:pPr>
            <w:r>
              <w:rPr>
                <w:b/>
                <w:bCs/>
                <w:color w:val="00274C"/>
                <w:position w:val="-2"/>
                <w:sz w:val="20"/>
                <w:szCs w:val="20"/>
                <w:u w:val="none"/>
              </w:rPr>
              <w:t xml:space="preserve">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Coolant recommendation</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Kohler / Rehlko </w:t>
            </w:r>
            <w:r>
              <w:rPr>
                <w:color w:val="00274C"/>
                <w:position w:val="-2"/>
                <w:sz w:val="20"/>
                <w:szCs w:val="20"/>
                <w:u w:val="none"/>
              </w:rPr>
              <w:t xml:space="preserve"> </w:t>
            </w:r>
            <w:r>
              <w:rPr>
                <w:b/>
                <w:bCs/>
                <w:color w:val="00274C"/>
                <w:position w:val="-2"/>
                <w:sz w:val="20"/>
                <w:szCs w:val="20"/>
                <w:u w:val="none"/>
              </w:rPr>
              <w:t xml:space="preserve">Xtended™</w:t>
            </w:r>
            <w:r>
              <w:rPr>
                <w:color w:val="00274C"/>
                <w:position w:val="-2"/>
                <w:sz w:val="20"/>
                <w:szCs w:val="20"/>
                <w:u w:val="none"/>
              </w:rPr>
              <w:t xml:space="preserve"> </w:t>
            </w:r>
            <w:r>
              <w:rPr>
                <w:b/>
                <w:bCs/>
                <w:color w:val="00274C"/>
                <w:position w:val="-2"/>
                <w:sz w:val="20"/>
                <w:szCs w:val="20"/>
                <w:u w:val="none"/>
              </w:rPr>
              <w:t xml:space="preserve"> prediluted coolant 50% ethylene glycol OAT is preferred.</w:t>
            </w:r>
          </w:p>
          <w:p/>
          <w:p/>
          <w:p>
            <w:pPr>
              <w:widowControl w:val="on"/>
              <w:pBdr/>
              <w:spacing w:before="0" w:after="0" w:line="262" w:lineRule="auto"/>
              <w:ind w:left="0" w:right="0"/>
              <w:jc w:val="left"/>
              <w:textAlignment w:val="center"/>
            </w:pPr>
            <w:r>
              <w:rPr>
                <w:position w:val="-353"/>
              </w:rPr>
              <w:drawing>
                <wp:inline distT="0" distB="0" distL="0" distR="0">
                  <wp:extent cx="2844000" cy="4456800"/>
                  <wp:effectExtent b="0" l="0" r="0" t="0"/>
                  <wp:docPr id="80399043" name="name16666a894973dcce6" descr="Rehlko_Xtended%2520Life%2520Coolant%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ended%2520Life%2520Coolant%2520-%2520NA.jpg"/>
                          <pic:cNvPicPr/>
                        </pic:nvPicPr>
                        <pic:blipFill>
                          <a:blip r:embed="rId74406a894973dcce2" cstate="print"/>
                          <a:stretch>
                            <a:fillRect/>
                          </a:stretch>
                        </pic:blipFill>
                        <pic:spPr>
                          <a:xfrm>
                            <a:off x="0" y="0"/>
                            <a:ext cx="2844000" cy="44568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Coolant meeting the following specifications are also recommended. </w:t>
            </w:r>
          </w:p>
          <w:p/>
          <w:p/>
          <w:p>
            <w:pPr>
              <w:widowControl w:val="on"/>
              <w:pBdr/>
              <w:spacing w:before="0" w:after="0" w:line="262" w:lineRule="auto"/>
              <w:ind w:left="0" w:right="0"/>
              <w:jc w:val="left"/>
              <w:textAlignment w:val="center"/>
            </w:pPr>
            <w:r>
              <w:rPr>
                <w:color w:val="00274C"/>
                <w:position w:val="-2"/>
                <w:sz w:val="20"/>
                <w:szCs w:val="20"/>
                <w:u w:val="none"/>
              </w:rPr>
              <w:t xml:space="preserve">A mixture of 50% demineralized water and 50% low silicate ethylene glycol based coolant liquid must be used. Use a Long Life or Extended Life Heavy Duty OAT coolant free of: silicates, phosphates, borates, nitrites and amines.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following ethylene-glycol based engine coolant for all models within KDW engine family may be used: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8794"/>
              </w:numPr>
              <w:spacing w:before="0" w:after="0" w:line="262" w:lineRule="auto"/>
              <w:jc w:val="left"/>
              <w:rPr>
                <w:color w:val="00274C"/>
                <w:sz w:val="20"/>
                <w:szCs w:val="20"/>
              </w:rPr>
            </w:pPr>
            <w:r>
              <w:rPr>
                <w:color w:val="00274C"/>
                <w:position w:val="-2"/>
                <w:sz w:val="20"/>
                <w:szCs w:val="20"/>
                <w:u w:val="none"/>
              </w:rPr>
              <w:t xml:space="preserve">OAT (Organic Acid Technology) Low Silicate:  </w:t>
            </w:r>
            <w:r>
              <w:rPr>
                <w:b/>
                <w:bCs/>
                <w:color w:val="00274C"/>
                <w:position w:val="-2"/>
                <w:sz w:val="20"/>
                <w:szCs w:val="20"/>
                <w:u w:val="none"/>
              </w:rPr>
              <w:t xml:space="preserve">ASTM D-3306 D-6210</w:t>
            </w:r>
          </w:p>
          <w:p>
            <w:pPr>
              <w:numPr>
                <w:ilvl w:val="0"/>
                <w:numId w:val="18794"/>
              </w:numPr>
              <w:spacing w:before="0" w:after="0" w:line="262" w:lineRule="auto"/>
              <w:jc w:val="left"/>
              <w:rPr>
                <w:color w:val="00274C"/>
                <w:sz w:val="20"/>
                <w:szCs w:val="20"/>
              </w:rPr>
            </w:pPr>
            <w:r>
              <w:rPr>
                <w:color w:val="00274C"/>
                <w:position w:val="-2"/>
                <w:sz w:val="20"/>
                <w:szCs w:val="20"/>
                <w:u w:val="none"/>
              </w:rPr>
              <w:t xml:space="preserve">HOAT (Hybrid Organic Acid Technology) Low Silicate:  </w:t>
            </w:r>
            <w:r>
              <w:rPr>
                <w:b/>
                <w:bCs/>
                <w:color w:val="00274C"/>
                <w:position w:val="-2"/>
                <w:sz w:val="20"/>
                <w:szCs w:val="20"/>
                <w:u w:val="none"/>
              </w:rPr>
              <w:t xml:space="preserve">ASTM D-3306 D-6210</w:t>
            </w:r>
          </w:p>
          <w:p/>
          <w:p/>
          <w:p>
            <w:pPr>
              <w:widowControl w:val="on"/>
              <w:pBdr/>
              <w:spacing w:before="0" w:after="0" w:line="262" w:lineRule="auto"/>
              <w:ind w:left="0" w:right="0"/>
              <w:jc w:val="left"/>
              <w:textAlignment w:val="center"/>
            </w:pPr>
            <w:r>
              <w:rPr>
                <w:color w:val="00274C"/>
                <w:position w:val="-2"/>
                <w:sz w:val="20"/>
                <w:szCs w:val="20"/>
                <w:u w:val="none"/>
              </w:rPr>
              <w:t xml:space="preserve">The above coolants in concentrated formulation must be mixed with distilled, deionized, or demineralized water. A pre-mixed formulation (40-60% or 50-50%) can be used directly when available.</w:t>
            </w:r>
          </w:p>
          <w:p/>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94926915" name="name71206a894973e501a"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85746a894973e5016"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18794"/>
              </w:numPr>
              <w:spacing w:before="0" w:after="0" w:line="262" w:lineRule="auto"/>
              <w:jc w:val="left"/>
              <w:rPr>
                <w:color w:val="00274C"/>
                <w:sz w:val="20"/>
                <w:szCs w:val="20"/>
              </w:rPr>
            </w:pPr>
            <w:r>
              <w:rPr>
                <w:color w:val="00274C"/>
                <w:position w:val="-2"/>
                <w:sz w:val="20"/>
                <w:szCs w:val="20"/>
                <w:u w:val="none"/>
              </w:rPr>
              <w:t xml:space="preserve">Do not mix ethylene glycol and propylene glycol based coolants. Do not mix OAT and HOAT based coolant. OAT performance life can be drastically reduced if contaminated with nitrite-containing coolants.</w:t>
            </w:r>
          </w:p>
          <w:p>
            <w:pPr>
              <w:numPr>
                <w:ilvl w:val="0"/>
                <w:numId w:val="18794"/>
              </w:numPr>
              <w:spacing w:before="0" w:after="0" w:line="262" w:lineRule="auto"/>
              <w:jc w:val="left"/>
              <w:rPr>
                <w:color w:val="00274C"/>
                <w:sz w:val="20"/>
                <w:szCs w:val="20"/>
              </w:rPr>
            </w:pPr>
            <w:r>
              <w:rPr>
                <w:color w:val="00274C"/>
                <w:position w:val="-2"/>
                <w:sz w:val="20"/>
                <w:szCs w:val="20"/>
                <w:u w:val="none"/>
              </w:rPr>
              <w:t xml:space="preserve">Never use automotive-type coolants. These coolants do not contain the correct additives to protect heavy – duty diesel engines.</w:t>
            </w:r>
          </w:p>
          <w:p/>
          <w:p/>
          <w:p>
            <w:pPr>
              <w:widowControl w:val="on"/>
              <w:pBdr/>
              <w:spacing w:before="0" w:after="0" w:line="262" w:lineRule="auto"/>
              <w:ind w:left="0" w:right="0"/>
              <w:jc w:val="left"/>
              <w:textAlignment w:val="center"/>
            </w:pPr>
            <w:r>
              <w:rPr>
                <w:color w:val="00274C"/>
                <w:position w:val="-2"/>
                <w:sz w:val="20"/>
                <w:szCs w:val="20"/>
                <w:u w:val="none"/>
              </w:rPr>
              <w:t xml:space="preserve">OAT coolants are maintenance free up to 5 years or 4000hrs of operation , provided that the cooling system is topped up using the same type of coolant. Do not mix different coolant types. Test the coolant condition annually with coolant test strips.</w:t>
            </w:r>
            <w:r>
              <w:rPr>
                <w:color w:val="00274C"/>
                <w:position w:val="-2"/>
                <w:sz w:val="20"/>
                <w:szCs w:val="20"/>
                <w:u w:val="none"/>
              </w:rPr>
              <w:br/>
              <w:t xml:space="preserve">HOAT are not all maintenance free and it is recommended to have SCA (Supplemental Coolant Additives) added at the first maintenance interval.</w:t>
            </w:r>
          </w:p>
          <w:p/>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Battery recommendation</w:t>
      </w:r>
    </w:p>
    <w:p>
      <w:pPr>
        <w:widowControl w:val="on"/>
        <w:pBdr/>
        <w:spacing w:before="0" w:after="0" w:line="262" w:lineRule="auto"/>
        <w:ind w:left="0" w:right="0"/>
        <w:jc w:val="left"/>
      </w:pPr>
      <w:r>
        <w:rPr>
          <w:b/>
          <w:bCs/>
          <w:color w:val="00274C"/>
          <w:sz w:val="20"/>
          <w:szCs w:val="20"/>
          <w:u w:val="none"/>
        </w:rPr>
        <w:t xml:space="preserve">Battery not supplied by </w:t>
      </w:r>
      <w:r>
        <w:rPr>
          <w:color w:val="00274C"/>
          <w:sz w:val="20"/>
          <w:szCs w:val="20"/>
          <w:u w:val="none"/>
        </w:rPr>
        <w:t xml:space="preserve"> </w:t>
      </w:r>
      <w:r>
        <w:rPr>
          <w:b/>
          <w:bCs/>
          <w:color w:val="000000"/>
          <w:sz w:val="20"/>
          <w:szCs w:val="20"/>
          <w:u w:val="none"/>
        </w:rPr>
        <w:t xml:space="preserve">Rehlko</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2.5</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RECOMMENDED BATTERIES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 </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IN STANDARD START CONDITIONS </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IN HEAVY-DUTY START CONDITIONS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KDW 502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12w-44 Ah / 210 A/DIN</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12w-44 Ah / 410 A/EN</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12w-44 Ah / 400 A/SAE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12w-55 Ah / 255 A/DIN</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12w-55 Ah / 500 A/EN</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12w-55 Ah / 485 A/SAE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KDW 702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12w-66 Ah / 330 A/DIN</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12w-66 Ah / 650 A/EN</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12w-66 Ah / 630 A/SAE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12w-88 Ah / 350 A/DIN</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12w-88 Ah / 690 A/EN</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12w-88 Ah / 665 A/SAE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KDW 1003-1404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12w-70 Ah / 350 A/DIN</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12w-70 Ah / 690 A/EN</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12w-70 Ah / 665 A/SAE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12w-92 Ah / 420 A/DIN</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12w-92 Ah / 825 A/EN</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12w-92 Ah / 800 A/SAE</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for </w:t>
      </w:r>
      <w:r>
        <w:rPr>
          <w:b/>
          <w:bCs/>
          <w:color w:val="00274C"/>
          <w:sz w:val="20"/>
          <w:szCs w:val="20"/>
          <w:u w:val="none"/>
        </w:rPr>
        <w:t xml:space="preserve">K-HEM</w:t>
      </w:r>
      <w:r>
        <w:rPr>
          <w:color w:val="00274C"/>
          <w:sz w:val="20"/>
          <w:szCs w:val="20"/>
          <w:u w:val="none"/>
        </w:rPr>
        <w:t xml:space="preserve"> model:</w:t>
      </w:r>
    </w:p>
    <w:p>
      <w:pPr>
        <w:widowControl w:val="on"/>
        <w:pBdr/>
        <w:spacing w:before="0" w:after="0" w:line="262" w:lineRule="auto"/>
        <w:ind w:left="0" w:right="0"/>
        <w:jc w:val="left"/>
      </w:pPr>
      <w:r>
        <w:rPr>
          <w:color w:val="00274C"/>
          <w:sz w:val="20"/>
          <w:szCs w:val="20"/>
          <w:u w:val="none"/>
        </w:rPr>
        <w:t xml:space="preserve">to replace the batteries for the hybrid unit, contact the machine manufacturer.</w:t>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18795">
    <w:multiLevelType w:val="hybridMultilevel"/>
    <w:lvl w:ilvl="0" w:tplc="84432393">
      <w:start w:val="1"/>
      <w:numFmt w:val="decimal"/>
      <w:lvlText w:val="%1."/>
      <w:lvlJc w:val="left"/>
      <w:pPr>
        <w:ind w:left="720" w:hanging="360"/>
      </w:pPr>
    </w:lvl>
    <w:lvl w:ilvl="1" w:tplc="84432393" w:tentative="1">
      <w:start w:val="1"/>
      <w:numFmt w:val="lowerLetter"/>
      <w:lvlText w:val="%2."/>
      <w:lvlJc w:val="left"/>
      <w:pPr>
        <w:ind w:left="1440" w:hanging="360"/>
      </w:pPr>
    </w:lvl>
    <w:lvl w:ilvl="2" w:tplc="84432393" w:tentative="1">
      <w:start w:val="1"/>
      <w:numFmt w:val="lowerRoman"/>
      <w:lvlText w:val="%3."/>
      <w:lvlJc w:val="right"/>
      <w:pPr>
        <w:ind w:left="2160" w:hanging="180"/>
      </w:pPr>
    </w:lvl>
    <w:lvl w:ilvl="3" w:tplc="84432393" w:tentative="1">
      <w:start w:val="1"/>
      <w:numFmt w:val="decimal"/>
      <w:lvlText w:val="%4."/>
      <w:lvlJc w:val="left"/>
      <w:pPr>
        <w:ind w:left="2880" w:hanging="360"/>
      </w:pPr>
    </w:lvl>
    <w:lvl w:ilvl="4" w:tplc="84432393" w:tentative="1">
      <w:start w:val="1"/>
      <w:numFmt w:val="lowerLetter"/>
      <w:lvlText w:val="%5."/>
      <w:lvlJc w:val="left"/>
      <w:pPr>
        <w:ind w:left="3600" w:hanging="360"/>
      </w:pPr>
    </w:lvl>
    <w:lvl w:ilvl="5" w:tplc="84432393" w:tentative="1">
      <w:start w:val="1"/>
      <w:numFmt w:val="lowerRoman"/>
      <w:lvlText w:val="%6."/>
      <w:lvlJc w:val="right"/>
      <w:pPr>
        <w:ind w:left="4320" w:hanging="180"/>
      </w:pPr>
    </w:lvl>
    <w:lvl w:ilvl="6" w:tplc="84432393" w:tentative="1">
      <w:start w:val="1"/>
      <w:numFmt w:val="decimal"/>
      <w:lvlText w:val="%7."/>
      <w:lvlJc w:val="left"/>
      <w:pPr>
        <w:ind w:left="5040" w:hanging="360"/>
      </w:pPr>
    </w:lvl>
    <w:lvl w:ilvl="7" w:tplc="84432393" w:tentative="1">
      <w:start w:val="1"/>
      <w:numFmt w:val="lowerLetter"/>
      <w:lvlText w:val="%8."/>
      <w:lvlJc w:val="left"/>
      <w:pPr>
        <w:ind w:left="5760" w:hanging="360"/>
      </w:pPr>
    </w:lvl>
    <w:lvl w:ilvl="8" w:tplc="84432393" w:tentative="1">
      <w:start w:val="1"/>
      <w:numFmt w:val="lowerRoman"/>
      <w:lvlText w:val="%9."/>
      <w:lvlJc w:val="right"/>
      <w:pPr>
        <w:ind w:left="6480" w:hanging="180"/>
      </w:pPr>
    </w:lvl>
  </w:abstractNum>
  <w:abstractNum w:abstractNumId="18794">
    <w:multiLevelType w:val="hybridMultilevel"/>
    <w:lvl w:ilvl="0" w:tplc="8139795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18794">
    <w:abstractNumId w:val="18794"/>
  </w:num>
  <w:num w:numId="18795">
    <w:abstractNumId w:val="1879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884919416" Type="http://schemas.openxmlformats.org/officeDocument/2006/relationships/comments" Target="comments.xml"/><Relationship Id="rId373140075" Type="http://schemas.microsoft.com/office/2011/relationships/commentsExtended" Target="commentsExtended.xml"/><Relationship Id="rId60034166" Type="http://schemas.openxmlformats.org/officeDocument/2006/relationships/image" Target="media/imgrId60034166.jpg"/><Relationship Id="rId79216a89497311536" Type="http://schemas.openxmlformats.org/officeDocument/2006/relationships/image" Target="media/imgrId79216a89497311536.png"/><Relationship Id="rId87096a89497333e4e" Type="http://schemas.openxmlformats.org/officeDocument/2006/relationships/image" Target="media/imgrId87096a89497333e4e.png"/><Relationship Id="rId70256a8949735b01b" Type="http://schemas.openxmlformats.org/officeDocument/2006/relationships/image" Target="media/imgrId70256a8949735b01b.png"/><Relationship Id="rId98636a8949737c967" Type="http://schemas.openxmlformats.org/officeDocument/2006/relationships/image" Target="media/imgrId98636a8949737c967.png"/><Relationship Id="rId86056a8949738b85e" Type="http://schemas.openxmlformats.org/officeDocument/2006/relationships/image" Target="media/imgrId86056a8949738b85e.png"/><Relationship Id="rId41806a89497394cd3" Type="http://schemas.openxmlformats.org/officeDocument/2006/relationships/image" Target="media/imgrId41806a89497394cd3.png"/><Relationship Id="rId86706a8949739f811" Type="http://schemas.openxmlformats.org/officeDocument/2006/relationships/image" Target="media/imgrId86706a8949739f811.jpg"/><Relationship Id="rId95006a894973a7056" Type="http://schemas.openxmlformats.org/officeDocument/2006/relationships/image" Target="media/imgrId95006a894973a7056.jpg"/><Relationship Id="rId93006a894973afc9e" Type="http://schemas.openxmlformats.org/officeDocument/2006/relationships/image" Target="media/imgrId93006a894973afc9e.jpg"/><Relationship Id="rId17006a894973b7294" Type="http://schemas.openxmlformats.org/officeDocument/2006/relationships/image" Target="media/imgrId17006a894973b7294.png"/><Relationship Id="rId35816a894973bef14" Type="http://schemas.openxmlformats.org/officeDocument/2006/relationships/image" Target="media/imgrId35816a894973bef14.png"/><Relationship Id="rId59056a894973c9ae0" Type="http://schemas.openxmlformats.org/officeDocument/2006/relationships/image" Target="media/imgrId59056a894973c9ae0.jpg"/><Relationship Id="rId75266a894973d1cb6" Type="http://schemas.openxmlformats.org/officeDocument/2006/relationships/image" Target="media/imgrId75266a894973d1cb6.jpg"/><Relationship Id="rId74406a894973dcce2" Type="http://schemas.openxmlformats.org/officeDocument/2006/relationships/image" Target="media/imgrId74406a894973dcce2.jpg"/><Relationship Id="rId85746a894973e5016" Type="http://schemas.openxmlformats.org/officeDocument/2006/relationships/image" Target="media/imgrId85746a894973e5016.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60034166" Type="http://schemas.openxmlformats.org/officeDocument/2006/relationships/image" Target="media/imgrId60034166.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60034166" Type="http://schemas.openxmlformats.org/officeDocument/2006/relationships/image" Target="media/imgrId60034166.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60034166" Type="http://schemas.openxmlformats.org/officeDocument/2006/relationships/image" Target="media/imgrId60034166.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60034166" Type="http://schemas.openxmlformats.org/officeDocument/2006/relationships/image" Target="media/imgrId60034166.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60034166" Type="http://schemas.openxmlformats.org/officeDocument/2006/relationships/image" Target="media/imgrId60034166.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60034166" Type="http://schemas.openxmlformats.org/officeDocument/2006/relationships/image" Target="media/imgrId60034166.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