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1903TCR - TCRE5 - TC Owner manual (Rev. 22)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976804473"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66565035"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ED0053029490-S</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21</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01/2013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02/2026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SERVICE DEPT</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35254183" w:name="ctxt"/>
    <w:bookmarkEnd w:id="35254183"/>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- 4 valves per cylinder with hydraulic tappets;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Turbocharger with Waste-gate valve;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Common rail - 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 (base version)</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80"/>
              </w:rPr>
              <w:drawing>
                <wp:inline distT="0" distB="0" distL="0" distR="0">
                  <wp:extent cx="1440000" cy="1080000"/>
                  <wp:effectExtent b="0" l="0" r="0" t="0"/>
                  <wp:docPr id="40240515" name="name31806a8b1a84b4769" descr="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png"/>
                          <pic:cNvPicPr/>
                        </pic:nvPicPr>
                        <pic:blipFill>
                          <a:blip r:embed="rId62576a8b1a84b4765" cstate="print"/>
                          <a:stretch>
                            <a:fillRect/>
                          </a:stretch>
                        </pic:blipFill>
                        <pic:spPr>
                          <a:xfrm>
                            <a:off x="0" y="0"/>
                            <a:ext cx="1440000" cy="1080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80"/>
              </w:rPr>
              <w:drawing>
                <wp:inline distT="0" distB="0" distL="0" distR="0">
                  <wp:extent cx="1440000" cy="1080000"/>
                  <wp:effectExtent b="0" l="0" r="0" t="0"/>
                  <wp:docPr id="75104576" name="name12066a8b1a84bb9a4" descr="CAP_2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2.png"/>
                          <pic:cNvPicPr/>
                        </pic:nvPicPr>
                        <pic:blipFill>
                          <a:blip r:embed="rId12916a8b1a84bb9a1" cstate="print"/>
                          <a:stretch>
                            <a:fillRect/>
                          </a:stretch>
                        </pic:blipFill>
                        <pic:spPr>
                          <a:xfrm>
                            <a:off x="0" y="0"/>
                            <a:ext cx="1440000" cy="1080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1903 TCR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2504 TCR</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1861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max. 30 minutes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 max.1 minute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version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with balancer device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267</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 - base version)</w:t>
      </w:r>
    </w:p>
    <w:p>
      <w:pPr>
        <w:widowControl w:val="on"/>
        <w:pBdr/>
        <w:spacing w:before="225" w:after="225" w:line="262" w:lineRule="auto"/>
        <w:ind w:left="0" w:right="0"/>
        <w:jc w:val="left"/>
      </w:pPr>
      <w:r>
        <w:drawing>
          <wp:inline distT="0" distB="0" distL="0" distR="0">
            <wp:extent cx="5544000" cy="4161600"/>
            <wp:effectExtent b="0" l="0" r="0" t="0"/>
            <wp:docPr id="19565161" name="name72866a8b1a84ce6e3" descr="Cap_2_04a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4a_04b.png"/>
                    <pic:cNvPicPr/>
                  </pic:nvPicPr>
                  <pic:blipFill>
                    <a:blip r:embed="rId66786a8b1a84ce6e0"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4370398" name="name42676a8b1a84d1d6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5776a8b1a84d1d65"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4605"/>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24605"/>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24605"/>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24605"/>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24605"/>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2195858" name="name32736a8b1a84d66e4"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2096a8b1a84d66e2"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4605"/>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24605"/>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24605"/>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24605"/>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24605"/>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69560979" name="name29296a8b1a84e17ce"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49476a8b1a84e17ca"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15204537" name="name71856a8b1a84e95ad"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75116a8b1a84e95aa"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4171966" name="name32966a8b1a84f0b44"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66496a8b1a84f0b41"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r>
    </w:tbl>
    <w:p>
      <w:pPr>
        <w:numPr>
          <w:ilvl w:val="0"/>
          <w:numId w:val="24605"/>
        </w:numPr>
        <w:spacing w:before="0" w:after="0" w:line="240" w:lineRule="auto"/>
        <w:jc w:val="left"/>
        <w:rPr>
          <w:color w:val="00274C"/>
          <w:sz w:val="20"/>
          <w:szCs w:val="20"/>
        </w:rPr>
      </w:pPr>
      <w:r>
        <w:rPr>
          <w:color w:val="00274C"/>
          <w:sz w:val="20"/>
          <w:szCs w:val="20"/>
          <w:u w:val="none"/>
        </w:rPr>
        <w:t xml:space="preserve">Low S.A.P.S. technology (oil with low Sulfated Ash, Phosphorus, Sulfur content) keeps catalyst in good working conditions. The presence of sulfated ash, phosphorus and sulfur causes with time the catalyst clogging and its consequent inefficiency.</w:t>
      </w:r>
    </w:p>
    <w:p>
      <w:pPr>
        <w:numPr>
          <w:ilvl w:val="0"/>
          <w:numId w:val="24605"/>
        </w:numPr>
        <w:spacing w:before="0" w:after="0" w:line="240" w:lineRule="auto"/>
        <w:jc w:val="left"/>
        <w:rPr>
          <w:color w:val="00274C"/>
          <w:sz w:val="20"/>
          <w:szCs w:val="20"/>
        </w:rPr>
      </w:pPr>
      <w:r>
        <w:rPr>
          <w:color w:val="00274C"/>
          <w:sz w:val="20"/>
          <w:szCs w:val="20"/>
          <w:u w:val="none"/>
        </w:rPr>
        <w:t xml:space="preserve">For Mid S.A.P.S oil sequence the sulfated ash level is the same as API CJ-4 ≤ 1.0% but as per ACEA standardization those oils are referenced as mid SAPS.</w:t>
      </w:r>
    </w:p>
    <w:p>
      <w:pPr>
        <w:numPr>
          <w:ilvl w:val="0"/>
          <w:numId w:val="24605"/>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w:t>
      </w:r>
      <w:r>
        <w:rPr>
          <w:b/>
          <w:bCs/>
          <w:color w:val="00274C"/>
          <w:sz w:val="20"/>
          <w:szCs w:val="20"/>
          <w:u w:val="none"/>
        </w:rPr>
        <w:t xml:space="preserve"> NOTE</w:t>
      </w:r>
      <w:r>
        <w:rPr>
          <w:color w:val="00274C"/>
          <w:sz w:val="20"/>
          <w:szCs w:val="20"/>
          <w:u w:val="none"/>
        </w:rPr>
        <w:t xml:space="preserve"> : Do NOT use fuel with sulphur content above 15ppm.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 On all engines compliant with Stage-V emission regulation (engines with DPF device), the oil to use must comply with the specification API CJ-4 Low S.A.P.S or ACEA E6 Low S.A.P.S.</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Do NOT use fuel with sulphur content above 500ppm.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Low S.A.P.S. oils, sulfate ashes &lt;1% may not be used with fuels with a sulfur content &gt;50ppm.</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8187872" name="name44976a8b1a850998c"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1466a8b1a8509989"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4605"/>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18451794" name="name49206a8b1a85108d0"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62106a8b1a85108cd"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24605"/>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24605"/>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24605"/>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24605"/>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24605"/>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24605"/>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24605"/>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24605"/>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24605"/>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24605"/>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24605"/>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24605"/>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24605"/>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24605"/>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24605"/>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24605"/>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24605"/>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24605"/>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24605"/>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97318687" name="name78496a8b1a851f075"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14096a8b1a851f071"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38660843" name="name47076a8b1a85260d1"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89486a8b1a85260ce"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14654079" name="name49756a8b1a8532a45"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48226a8b1a8532a41"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605"/>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24605"/>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7940408" name="name39466a8b1a853a87c"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9306a8b1a853a879"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4605"/>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24605"/>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Ah - 1000 CCA/SAE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panel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2.8</w:t>
            </w:r>
            <w:r>
              <w:rPr>
                <w:color w:val="00274C"/>
                <w:position w:val="-2"/>
                <w:sz w:val="20"/>
                <w:szCs w:val="20"/>
                <w:u w:val="none"/>
              </w:rPr>
              <w:t xml:space="preserve">  shows the control panel components.
</w:t>
            </w:r>
          </w:p>
          <w:p>
            <w:pPr>
              <w:widowControl w:val="on"/>
              <w:pBdr/>
              <w:spacing w:before="0" w:after="0" w:line="262" w:lineRule="auto"/>
              <w:ind w:left="0" w:right="0"/>
              <w:jc w:val="left"/>
              <w:textAlignment w:val="center"/>
            </w:pPr>
            <w:r>
              <w:rPr>
                <w:b/>
                <w:bCs/>
                <w:color w:val="00274C"/>
                <w:position w:val="-2"/>
                <w:sz w:val="20"/>
                <w:szCs w:val="20"/>
                <w:u w:val="none"/>
              </w:rPr>
              <w:br/>
              <w:t xml:space="preserve">Tab 2.8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Switch key to start the panel and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data or errors display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Top navigation menu arrow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Bottom navigation menu arrow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selection or entry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Engine operating status (green = no problem detected)</w:t>
                  </w:r>
                </w:p>
              </w:tc>
            </w:tr>
          </w:tbl>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4513992" name="name89466a8b1a854b4a7" descr="Cap_2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png"/>
                          <pic:cNvPicPr/>
                        </pic:nvPicPr>
                        <pic:blipFill>
                          <a:blip r:embed="rId11956a8b1a854b4a4"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if LED </w:t>
            </w:r>
            <w:r>
              <w:rPr>
                <w:b/>
                <w:bCs/>
                <w:color w:val="00274C"/>
                <w:position w:val="-2"/>
                <w:sz w:val="20"/>
                <w:szCs w:val="20"/>
                <w:u w:val="none"/>
              </w:rPr>
              <w:t xml:space="preserve">F</w:t>
            </w:r>
            <w:r>
              <w:rPr>
                <w:color w:val="00274C"/>
                <w:position w:val="-2"/>
                <w:sz w:val="20"/>
                <w:szCs w:val="20"/>
                <w:u w:val="none"/>
              </w:rPr>
              <w:t xml:space="preserve"> is red, contact authorised  </w:t>
            </w:r>
            <w:r>
              <w:rPr>
                <w:b/>
                <w:bCs/>
                <w:color w:val="000000"/>
                <w:position w:val="-2"/>
                <w:sz w:val="20"/>
                <w:szCs w:val="20"/>
                <w:u w:val="none"/>
              </w:rPr>
              <w:t xml:space="preserve">REHLKO </w:t>
            </w:r>
            <w:r>
              <w:rPr>
                <w:color w:val="00274C"/>
                <w:position w:val="-2"/>
                <w:sz w:val="20"/>
                <w:szCs w:val="20"/>
                <w:u w:val="none"/>
              </w:rPr>
              <w:t xml:space="preserve"> workshops to know what type of problem it is. Certain problems automatically switch off the engine.</w:t>
            </w:r>
          </w:p>
          <w:p/>
          <w:p/>
          <w:p>
            <w:pPr>
              <w:widowControl w:val="on"/>
              <w:pBdr/>
              <w:spacing w:before="0" w:after="0" w:line="262" w:lineRule="auto"/>
              <w:ind w:left="0" w:right="0"/>
              <w:jc w:val="left"/>
              <w:textAlignment w:val="center"/>
            </w:pPr>
            <w:r>
              <w:rPr>
                <w:b/>
                <w:bCs/>
                <w:color w:val="00274C"/>
                <w:position w:val="-2"/>
                <w:sz w:val="20"/>
                <w:szCs w:val="20"/>
                <w:u w:val="none"/>
              </w:rPr>
              <w:t xml:space="preserve">Tab. 2.9 </w:t>
            </w:r>
            <w:r>
              <w:rPr>
                <w:color w:val="00274C"/>
                <w:position w:val="-2"/>
                <w:sz w:val="20"/>
                <w:szCs w:val="20"/>
                <w:u w:val="none"/>
              </w:rPr>
              <w:t xml:space="preserve"> shows data that can be consulted on display </w:t>
            </w:r>
            <w:r>
              <w:rPr>
                <w:b/>
                <w:bCs/>
                <w:color w:val="00274C"/>
                <w:position w:val="-2"/>
                <w:sz w:val="20"/>
                <w:szCs w:val="20"/>
                <w:u w:val="none"/>
              </w:rPr>
              <w:t xml:space="preserve">B</w:t>
            </w:r>
            <w:r>
              <w:rPr>
                <w:color w:val="00274C"/>
                <w:position w:val="-2"/>
                <w:sz w:val="20"/>
                <w:szCs w:val="20"/>
                <w:u w:val="none"/>
              </w:rPr>
              <w:t xml:space="preserve"> by pressing push buttons </w:t>
            </w:r>
            <w:r>
              <w:rPr>
                <w:b/>
                <w:bCs/>
                <w:color w:val="00274C"/>
                <w:position w:val="-2"/>
                <w:sz w:val="20"/>
                <w:szCs w:val="20"/>
                <w:u w:val="none"/>
              </w:rPr>
              <w:t xml:space="preserve">C</w:t>
            </w:r>
            <w:r>
              <w:rPr>
                <w:color w:val="00274C"/>
                <w:position w:val="-2"/>
                <w:sz w:val="20"/>
                <w:szCs w:val="20"/>
                <w:u w:val="none"/>
              </w:rPr>
              <w:t xml:space="preserve"> or </w:t>
            </w:r>
            <w:r>
              <w:rPr>
                <w:b/>
                <w:bCs/>
                <w:color w:val="00274C"/>
                <w:position w:val="-2"/>
                <w:sz w:val="20"/>
                <w:szCs w:val="20"/>
                <w:u w:val="none"/>
              </w:rPr>
              <w:t xml:space="preserve">D</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data described in </w:t>
            </w:r>
            <w:r>
              <w:rPr>
                <w:b/>
                <w:bCs/>
                <w:color w:val="00274C"/>
                <w:position w:val="-2"/>
                <w:sz w:val="20"/>
                <w:szCs w:val="20"/>
                <w:u w:val="none"/>
              </w:rPr>
              <w:t xml:space="preserve">Tab. 2.9</w:t>
            </w:r>
            <w:r>
              <w:rPr>
                <w:color w:val="00274C"/>
                <w:position w:val="-2"/>
                <w:sz w:val="20"/>
                <w:szCs w:val="20"/>
                <w:u w:val="none"/>
              </w:rPr>
              <w:t xml:space="preserve">  can differ, therefore, consult the machine's manual.</w:t>
            </w:r>
          </w:p>
          <w:p>
            <w:pPr>
              <w:widowControl w:val="on"/>
              <w:pBdr/>
              <w:spacing w:before="0" w:after="0" w:line="262" w:lineRule="auto"/>
              <w:ind w:left="0" w:right="0"/>
              <w:jc w:val="left"/>
              <w:textAlignment w:val="center"/>
            </w:pPr>
            <w:r>
              <w:rPr>
                <w:b/>
                <w:bCs/>
                <w:color w:val="00274C"/>
                <w:position w:val="-2"/>
                <w:sz w:val="20"/>
                <w:szCs w:val="20"/>
                <w:u w:val="none"/>
              </w:rPr>
              <w:br/>
              <w:t xml:space="preserve">Tab 2.9</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Operating hours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Hours left for maintenance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 used @ rpm (% used)</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4606">
    <w:multiLevelType w:val="hybridMultilevel"/>
    <w:lvl w:ilvl="0" w:tplc="16244200">
      <w:start w:val="1"/>
      <w:numFmt w:val="decimal"/>
      <w:lvlText w:val="%1."/>
      <w:lvlJc w:val="left"/>
      <w:pPr>
        <w:ind w:left="720" w:hanging="360"/>
      </w:pPr>
    </w:lvl>
    <w:lvl w:ilvl="1" w:tplc="16244200" w:tentative="1">
      <w:start w:val="1"/>
      <w:numFmt w:val="lowerLetter"/>
      <w:lvlText w:val="%2."/>
      <w:lvlJc w:val="left"/>
      <w:pPr>
        <w:ind w:left="1440" w:hanging="360"/>
      </w:pPr>
    </w:lvl>
    <w:lvl w:ilvl="2" w:tplc="16244200" w:tentative="1">
      <w:start w:val="1"/>
      <w:numFmt w:val="lowerRoman"/>
      <w:lvlText w:val="%3."/>
      <w:lvlJc w:val="right"/>
      <w:pPr>
        <w:ind w:left="2160" w:hanging="180"/>
      </w:pPr>
    </w:lvl>
    <w:lvl w:ilvl="3" w:tplc="16244200" w:tentative="1">
      <w:start w:val="1"/>
      <w:numFmt w:val="decimal"/>
      <w:lvlText w:val="%4."/>
      <w:lvlJc w:val="left"/>
      <w:pPr>
        <w:ind w:left="2880" w:hanging="360"/>
      </w:pPr>
    </w:lvl>
    <w:lvl w:ilvl="4" w:tplc="16244200" w:tentative="1">
      <w:start w:val="1"/>
      <w:numFmt w:val="lowerLetter"/>
      <w:lvlText w:val="%5."/>
      <w:lvlJc w:val="left"/>
      <w:pPr>
        <w:ind w:left="3600" w:hanging="360"/>
      </w:pPr>
    </w:lvl>
    <w:lvl w:ilvl="5" w:tplc="16244200" w:tentative="1">
      <w:start w:val="1"/>
      <w:numFmt w:val="lowerRoman"/>
      <w:lvlText w:val="%6."/>
      <w:lvlJc w:val="right"/>
      <w:pPr>
        <w:ind w:left="4320" w:hanging="180"/>
      </w:pPr>
    </w:lvl>
    <w:lvl w:ilvl="6" w:tplc="16244200" w:tentative="1">
      <w:start w:val="1"/>
      <w:numFmt w:val="decimal"/>
      <w:lvlText w:val="%7."/>
      <w:lvlJc w:val="left"/>
      <w:pPr>
        <w:ind w:left="5040" w:hanging="360"/>
      </w:pPr>
    </w:lvl>
    <w:lvl w:ilvl="7" w:tplc="16244200" w:tentative="1">
      <w:start w:val="1"/>
      <w:numFmt w:val="lowerLetter"/>
      <w:lvlText w:val="%8."/>
      <w:lvlJc w:val="left"/>
      <w:pPr>
        <w:ind w:left="5760" w:hanging="360"/>
      </w:pPr>
    </w:lvl>
    <w:lvl w:ilvl="8" w:tplc="16244200" w:tentative="1">
      <w:start w:val="1"/>
      <w:numFmt w:val="lowerRoman"/>
      <w:lvlText w:val="%9."/>
      <w:lvlJc w:val="right"/>
      <w:pPr>
        <w:ind w:left="6480" w:hanging="180"/>
      </w:pPr>
    </w:lvl>
  </w:abstractNum>
  <w:abstractNum w:abstractNumId="24605">
    <w:multiLevelType w:val="hybridMultilevel"/>
    <w:lvl w:ilvl="0" w:tplc="334245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4605">
    <w:abstractNumId w:val="24605"/>
  </w:num>
  <w:num w:numId="24606">
    <w:abstractNumId w:val="246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838745761" Type="http://schemas.openxmlformats.org/officeDocument/2006/relationships/comments" Target="comments.xml"/><Relationship Id="rId993693018" Type="http://schemas.microsoft.com/office/2011/relationships/commentsExtended" Target="commentsExtended.xml"/><Relationship Id="rId66565035" Type="http://schemas.openxmlformats.org/officeDocument/2006/relationships/image" Target="media/imgrId66565035.jpg"/><Relationship Id="rId62576a8b1a84b4765" Type="http://schemas.openxmlformats.org/officeDocument/2006/relationships/image" Target="media/imgrId62576a8b1a84b4765.png"/><Relationship Id="rId12916a8b1a84bb9a1" Type="http://schemas.openxmlformats.org/officeDocument/2006/relationships/image" Target="media/imgrId12916a8b1a84bb9a1.png"/><Relationship Id="rId66786a8b1a84ce6e0" Type="http://schemas.openxmlformats.org/officeDocument/2006/relationships/image" Target="media/imgrId66786a8b1a84ce6e0.png"/><Relationship Id="rId95776a8b1a84d1d65" Type="http://schemas.openxmlformats.org/officeDocument/2006/relationships/image" Target="media/imgrId95776a8b1a84d1d65.jpg"/><Relationship Id="rId82096a8b1a84d66e2" Type="http://schemas.openxmlformats.org/officeDocument/2006/relationships/image" Target="media/imgrId82096a8b1a84d66e2.jpg"/><Relationship Id="rId49476a8b1a84e17ca" Type="http://schemas.openxmlformats.org/officeDocument/2006/relationships/image" Target="media/imgrId49476a8b1a84e17ca.jpg"/><Relationship Id="rId75116a8b1a84e95aa" Type="http://schemas.openxmlformats.org/officeDocument/2006/relationships/image" Target="media/imgrId75116a8b1a84e95aa.jpg"/><Relationship Id="rId66496a8b1a84f0b41" Type="http://schemas.openxmlformats.org/officeDocument/2006/relationships/image" Target="media/imgrId66496a8b1a84f0b41.jpg"/><Relationship Id="rId41466a8b1a8509989" Type="http://schemas.openxmlformats.org/officeDocument/2006/relationships/image" Target="media/imgrId41466a8b1a8509989.png"/><Relationship Id="rId62106a8b1a85108cd" Type="http://schemas.openxmlformats.org/officeDocument/2006/relationships/image" Target="media/imgrId62106a8b1a85108cd.png"/><Relationship Id="rId14096a8b1a851f071" Type="http://schemas.openxmlformats.org/officeDocument/2006/relationships/image" Target="media/imgrId14096a8b1a851f071.jpg"/><Relationship Id="rId89486a8b1a85260ce" Type="http://schemas.openxmlformats.org/officeDocument/2006/relationships/image" Target="media/imgrId89486a8b1a85260ce.jpg"/><Relationship Id="rId48226a8b1a8532a41" Type="http://schemas.openxmlformats.org/officeDocument/2006/relationships/image" Target="media/imgrId48226a8b1a8532a41.jpg"/><Relationship Id="rId99306a8b1a853a879" Type="http://schemas.openxmlformats.org/officeDocument/2006/relationships/image" Target="media/imgrId99306a8b1a853a879.png"/><Relationship Id="rId11956a8b1a854b4a4" Type="http://schemas.openxmlformats.org/officeDocument/2006/relationships/image" Target="media/imgrId11956a8b1a854b4a4.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66565035" Type="http://schemas.openxmlformats.org/officeDocument/2006/relationships/image" Target="media/imgrId66565035.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66565035" Type="http://schemas.openxmlformats.org/officeDocument/2006/relationships/image" Target="media/imgrId66565035.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66565035" Type="http://schemas.openxmlformats.org/officeDocument/2006/relationships/image" Target="media/imgrId66565035.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66565035" Type="http://schemas.openxmlformats.org/officeDocument/2006/relationships/image" Target="media/imgrId66565035.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66565035" Type="http://schemas.openxmlformats.org/officeDocument/2006/relationships/image" Target="media/imgrId66565035.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66565035" Type="http://schemas.openxmlformats.org/officeDocument/2006/relationships/image" Target="media/imgrId66565035.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