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Informations techniques</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Manuel d'atelier KDI 2504 TM (Rev. 07.6)</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708121097"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27788342"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
      </w:r>
    </w:p>
    <w:p>
      <w:pPr>
        <w:pStyle w:val="Normale"/>
        <w:jc w:val="center"/>
        <w:rPr/>
      </w:pPr>
      <w:r>
        <w:rPr/>
        <w:t xml:space="preserve"/>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
      </w:r>
    </w:p>
    <w:p>
      <w:pPr>
        <w:pStyle w:val="Normale"/>
        <w:jc w:val="center"/>
        <w:rPr/>
      </w:pPr>
      <w:r>
        <w:rPr/>
        <w:t xml:space="preserve"/>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3868837" w:name="ctxt"/>
    <w:bookmarkEnd w:id="23868837"/>
    <w:p>
      <w:pPr>
        <w:widowControl w:val="on"/>
        <w:pBdr/>
        <w:spacing w:before="75" w:after="75" w:line="240" w:lineRule="auto"/>
        <w:ind w:left="75" w:right="75"/>
        <w:jc w:val="left"/>
      </w:pPr>
    </w:p>
    <w:p>
      <w:pPr>
        <w:pStyle w:val="Titolo1"/>
      </w:pPr>
      <w:r>
        <w:rPr/>
        <w:t xml:space="preserve">Informations techniques</w:t>
      </w:r>
    </w:p>
    <w:p>
      <w:pPr>
        <w:widowControl w:val="on"/>
        <w:pBdr/>
        <w:spacing w:before="0" w:after="0" w:line="240" w:lineRule="auto"/>
        <w:ind w:left="0" w:right="0"/>
        <w:jc w:val="left"/>
      </w:pPr>
    </w:p>
    <w:p>
      <w:pPr>
        <w:pStyle w:val="Titolo2"/>
      </w:pPr>
      <w:r>
        <w:rPr/>
        <w:t xml:space="preserve">Données techniques du moteur</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SPECIFICATIONS DE CONSTRUCTION ET DE FONCTIONNEMENT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GÉNÉRALITÉS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UNITÉ DE MESURE</w:t>
            </w:r>
          </w:p>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Cycle de fonctionnement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- 4 temps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Cylindres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Alésage x course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88x102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Cylindrée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2482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Rapport de compression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Admission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Suralimenté par un Turbocompresseur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Refroidissement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 du vilebrequin (vue du coté volant)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Antihoraire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Séquence de combustion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1-3-4-2</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Distribution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Soupapes par cylindre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Distribution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Jauges et culbuteurs - Arbre à cames dans le carter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Poussoirs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Hydrauliques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Direct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Poids du moteur à sec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Inclinaison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de fonctionnement continue pour 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(min./a)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Inclinaison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de fonctionnement continue pour 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(min./a)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Volume d'air aspiré (à 2 600 tours/min)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PUISSANCE ET COUPLE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GÉNÉRALITÉS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UNITÉ DE MESURE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Régime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 de fonctionnement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Tours/min.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Puissance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 de fonctionnement  (ISO TR 14396 - SAE J1995 - CE 97/68)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Couple maximal (à 1500 tours/min)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Charge axiale admise vilebrequin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CONSOMMATIONS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GÉNÉRALITÉS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UNITÉ DE MESURE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Consommation spécifique de carburant (best point)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Consommation spécifique huile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0.05</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CIRCUIT ALIMENTATION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GÉNÉRALITÉS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UNITÉ DE MESURE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Type de carburant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UNI-EN590 - ASTM D975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à injection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STANADYNE - DB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Alimentation carburant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électrique basse pression</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Filtre du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Surface filtrante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Degré de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 maximale à l'entrée de la pompe à injection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CIRCUIT DE LUBRIFICATION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GÉNÉRALITÉS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UNITÉ DE MESURE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Lubrifiant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Lubrifiant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Voir </w:t>
            </w:r>
            <w:hyperlink r:id="rId26816a9e744e1f8a4" w:history="1">
              <w:r>
                <w:rPr>
                  <w:rStyle w:val="DefaultParagraphFontPHPDOCX"/>
                  <w:b/>
                  <w:bCs/>
                  <w:color w:val="0000FF"/>
                  <w:position w:val="-2"/>
                  <w:sz w:val="20"/>
                  <w:szCs w:val="20"/>
                  <w:u w:val="none"/>
                  <w:shd w:val="clear" w:color="auto" w:fill="E1E2E0"/>
                </w:rPr>
                <w:t xml:space="preserve">Par. 2.4</w:t>
              </w:r>
            </w:hyperlink>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Alimentation forcée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à lobes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Capacité du carter d'huile (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11,5</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Pressostat 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 d'intervention ( </w:t>
            </w:r>
            <w:r>
              <w:rPr>
                <w:b/>
                <w:bCs/>
                <w:color w:val="00274C"/>
                <w:position w:val="-2"/>
                <w:sz w:val="20"/>
                <w:szCs w:val="20"/>
                <w:u w:val="none"/>
                <w:shd w:val="clear" w:color="auto" w:fill="E1E2E0"/>
              </w:rPr>
              <w:t xml:space="preserve">MIN.</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0.8±0.1</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Filtre à 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 maximale de service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Degré de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Surface filtrante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1744</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CIRCUIT DE REFROIDISSEMENT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GÉNÉRALITÉS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UNITÉ DE MESURE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Liquide de refroidissement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Voir </w:t>
            </w:r>
            <w:hyperlink r:id="rId41376a9e744e22b2e" w:history="1">
              <w:r>
                <w:rPr>
                  <w:rStyle w:val="DefaultParagraphFontPHPDOCX"/>
                  <w:b/>
                  <w:bCs/>
                  <w:color w:val="0000FF"/>
                  <w:position w:val="-2"/>
                  <w:sz w:val="20"/>
                  <w:szCs w:val="20"/>
                  <w:u w:val="none"/>
                  <w:shd w:val="clear" w:color="auto" w:fill="E1E2E0"/>
                </w:rPr>
                <w:t xml:space="preserve">Par. 2.6</w:t>
              </w:r>
            </w:hyperlink>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à eau</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Soupape thermostatique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Température d’ouverture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Course à 91°C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Recirculation du liquide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INSTALLATION ÉLECTRIQUE - VENTILATEUR ÉLECTRIQUE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GÉNÉRALITÉS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UNITÉ DE MESURE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Tension nominal du circuit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Alternateur extérieur (courant nominal)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Puissance démarreur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Absorption électrique du système, sauf:</w:t>
            </w:r>
            <w:r>
              <w:rPr>
                <w:color w:val="00274C"/>
                <w:position w:val="-2"/>
                <w:sz w:val="20"/>
                <w:szCs w:val="20"/>
                <w:u w:val="none"/>
                <w:shd w:val="clear" w:color="auto" w:fill="E1E2E0"/>
              </w:rPr>
              <w:br/>
              <w:t xml:space="preserve">corps de chauffe, pompe électrique, ventilateur électrique, démarreur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Voyant de température du liquide de refroidissement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Température allumage voyant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+100/+110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Encombrement des moteurs (mm)</w:t>
      </w:r>
    </w:p>
    <w:p>
      <w:pPr>
        <w:widowControl w:val="on"/>
        <w:pBdr/>
        <w:spacing w:before="225" w:after="225" w:line="262" w:lineRule="auto"/>
        <w:ind w:left="0" w:right="0"/>
        <w:jc w:val="left"/>
      </w:pPr>
      <w:r>
        <w:drawing>
          <wp:inline distT="0" distB="0" distL="0" distR="0">
            <wp:extent cx="5544000" cy="4161600"/>
            <wp:effectExtent b="0" l="0" r="0" t="0"/>
            <wp:docPr id="97702737" name="name16756a9e744e37209" descr="Cap_2_02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2_03.png"/>
                    <pic:cNvPicPr/>
                  </pic:nvPicPr>
                  <pic:blipFill>
                    <a:blip r:embed="rId20926a9e744e37206"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Prestations</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50 Hz @ 1500 rpm</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TM-30</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TM-40 EU</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TM-40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PUISSANCE</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Stand-by power (kW/HP)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31,0 / 41,5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36,4 / 48,8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41,0 / 54,9</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Prime power (kW/HP)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28,2 / 37,8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33,1 / 44,3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37,3 / 49,9</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gridSpan w:val="3"/>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CONSOMMATION DE CARBURANT (g/kWh)</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Consommation de carburant avec charge de 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226,8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228,7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225,0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Consommation de carburant avec charge de 75%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238,0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235,7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228,0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Consommation de carburant avec charge de 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252,9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235,0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Consommation de carburant avec charge de 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280,6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278,4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265,0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Consommation de carburant avec charge de 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420,9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398,4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376,0</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60 Hz @ 1800 rpm</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TM</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PUISSANCE</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Stand-by power (kW/HP)</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36,4 / 48,8</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Prime power (kW/HP)</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33,1 / 44,3</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gridSpan w:val="3"/>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CONSOMMATION DE CARBURANT (g/kWh)</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Consommation de carburant avec charge de 100%</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226,6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Consommation de carburant avec charge de 75%</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236,5</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Consommation de carburant avec charge de 50%</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256,8</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Consommation de carburant avec charge de 25%</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299,8</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Consommation de carburant avec charge de 10%</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470,7</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Huile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297028" name="name29836a9e744e441d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0666a9e744e441d7"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6399"/>
        </w:numPr>
        <w:spacing w:before="0" w:after="0" w:line="240" w:lineRule="auto"/>
        <w:jc w:val="left"/>
        <w:rPr>
          <w:color w:val="00274C"/>
          <w:sz w:val="20"/>
          <w:szCs w:val="20"/>
        </w:rPr>
      </w:pPr>
      <w:r>
        <w:rPr>
          <w:color w:val="00274C"/>
          <w:sz w:val="20"/>
          <w:szCs w:val="20"/>
          <w:u w:val="none"/>
        </w:rPr>
        <w:t xml:space="preserve">Le moteur peut s'endommager si on le fait fonctionner avec un niveau d'huile incorrect.</w:t>
      </w:r>
    </w:p>
    <w:p>
      <w:pPr>
        <w:numPr>
          <w:ilvl w:val="0"/>
          <w:numId w:val="16399"/>
        </w:numPr>
        <w:spacing w:before="0" w:after="0" w:line="240" w:lineRule="auto"/>
        <w:jc w:val="left"/>
        <w:rPr>
          <w:color w:val="00274C"/>
          <w:sz w:val="20"/>
          <w:szCs w:val="20"/>
        </w:rPr>
      </w:pPr>
      <w:r>
        <w:rPr>
          <w:color w:val="00274C"/>
          <w:sz w:val="20"/>
          <w:szCs w:val="20"/>
          <w:u w:val="none"/>
        </w:rPr>
        <w:t xml:space="preserve">Ne pas dépasser le niveau MAX. car sa combustion peut provoquer une brusque augmentation de la vitesse de rotation.</w:t>
      </w:r>
    </w:p>
    <w:p>
      <w:pPr>
        <w:numPr>
          <w:ilvl w:val="0"/>
          <w:numId w:val="16399"/>
        </w:numPr>
        <w:spacing w:before="0" w:after="0" w:line="240" w:lineRule="auto"/>
        <w:jc w:val="left"/>
        <w:rPr>
          <w:color w:val="00274C"/>
          <w:sz w:val="20"/>
          <w:szCs w:val="20"/>
        </w:rPr>
      </w:pPr>
      <w:r>
        <w:rPr>
          <w:color w:val="00274C"/>
          <w:sz w:val="20"/>
          <w:szCs w:val="20"/>
          <w:u w:val="none"/>
        </w:rPr>
        <w:t xml:space="preserve">N'utiliser que l'huile prescrite afin de garantir une protection adéquate, l'efficacité et la durée du moteur.</w:t>
      </w:r>
    </w:p>
    <w:p>
      <w:pPr>
        <w:numPr>
          <w:ilvl w:val="0"/>
          <w:numId w:val="16399"/>
        </w:numPr>
        <w:spacing w:before="0" w:after="0" w:line="240" w:lineRule="auto"/>
        <w:jc w:val="left"/>
        <w:rPr>
          <w:color w:val="00274C"/>
          <w:sz w:val="20"/>
          <w:szCs w:val="20"/>
        </w:rPr>
      </w:pPr>
      <w:r>
        <w:rPr>
          <w:color w:val="00274C"/>
          <w:sz w:val="20"/>
          <w:szCs w:val="20"/>
          <w:u w:val="none"/>
        </w:rPr>
        <w:t xml:space="preserve">En cas d'utilisation d'une huile ayant une qualité inférieure à celle prescrite, la durée du moteur sera considérablement compromise.</w:t>
      </w:r>
    </w:p>
    <w:p>
      <w:pPr>
        <w:numPr>
          <w:ilvl w:val="0"/>
          <w:numId w:val="16399"/>
        </w:numPr>
        <w:spacing w:before="0" w:after="0" w:line="240" w:lineRule="auto"/>
        <w:jc w:val="left"/>
        <w:rPr>
          <w:color w:val="00274C"/>
          <w:sz w:val="20"/>
          <w:szCs w:val="20"/>
        </w:rPr>
      </w:pPr>
      <w:r>
        <w:rPr>
          <w:color w:val="00274C"/>
          <w:sz w:val="20"/>
          <w:szCs w:val="20"/>
          <w:u w:val="none"/>
        </w:rPr>
        <w:t xml:space="preserve">La viscosité de l'huile doit être adaptée à la température ambiante à laquelle le moteur fonctionne.</w:t>
      </w:r>
    </w:p>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3547429" name="name91096a9e744e4870c"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6976a9e744e4870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6399"/>
        </w:numPr>
        <w:spacing w:before="0" w:after="0" w:line="240" w:lineRule="auto"/>
        <w:jc w:val="left"/>
        <w:rPr>
          <w:color w:val="00274C"/>
          <w:sz w:val="20"/>
          <w:szCs w:val="20"/>
        </w:rPr>
      </w:pPr>
      <w:r>
        <w:rPr>
          <w:color w:val="00274C"/>
          <w:sz w:val="20"/>
          <w:szCs w:val="20"/>
          <w:u w:val="none"/>
        </w:rPr>
        <w:t xml:space="preserve">Le contact prolongé de la peau avec de l'huile de moteur usée peut entraîner un cancer de la peau.</w:t>
      </w:r>
    </w:p>
    <w:p>
      <w:pPr>
        <w:numPr>
          <w:ilvl w:val="0"/>
          <w:numId w:val="16399"/>
        </w:numPr>
        <w:spacing w:before="0" w:after="0" w:line="240" w:lineRule="auto"/>
        <w:jc w:val="left"/>
        <w:rPr>
          <w:color w:val="00274C"/>
          <w:sz w:val="20"/>
          <w:szCs w:val="20"/>
        </w:rPr>
      </w:pPr>
      <w:r>
        <w:rPr>
          <w:color w:val="00274C"/>
          <w:sz w:val="20"/>
          <w:szCs w:val="20"/>
          <w:u w:val="none"/>
        </w:rPr>
        <w:t xml:space="preserve">Si le contact avec l'huile est inévitable, se laver soigneusement les mains avec de l'eau et du savon dès que possible.</w:t>
      </w:r>
    </w:p>
    <w:p>
      <w:pPr>
        <w:numPr>
          <w:ilvl w:val="0"/>
          <w:numId w:val="16399"/>
        </w:numPr>
        <w:spacing w:before="0" w:after="0" w:line="240" w:lineRule="auto"/>
        <w:jc w:val="left"/>
        <w:rPr>
          <w:color w:val="00274C"/>
          <w:sz w:val="20"/>
          <w:szCs w:val="20"/>
        </w:rPr>
      </w:pPr>
      <w:r>
        <w:rPr>
          <w:color w:val="00274C"/>
          <w:sz w:val="20"/>
          <w:szCs w:val="20"/>
          <w:u w:val="none"/>
        </w:rPr>
        <w:t xml:space="preserve">Pour l'élimination de l'huile usée, se référer au </w:t>
      </w:r>
      <w:r>
        <w:rPr>
          <w:b/>
          <w:bCs/>
          <w:color w:val="00274C"/>
          <w:sz w:val="20"/>
          <w:szCs w:val="20"/>
          <w:u w:val="none"/>
        </w:rPr>
        <w:t xml:space="preserve">Par. DÉMANTÈLEMENT ET DESTRUCTION</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Classification de l'huile SAE</w:t>
      </w:r>
    </w:p>
    <w:p>
      <w:pPr>
        <w:numPr>
          <w:ilvl w:val="0"/>
          <w:numId w:val="16399"/>
        </w:numPr>
        <w:spacing w:before="0" w:after="0" w:line="240" w:lineRule="auto"/>
        <w:jc w:val="left"/>
        <w:rPr>
          <w:color w:val="00274C"/>
          <w:sz w:val="20"/>
          <w:szCs w:val="20"/>
        </w:rPr>
      </w:pPr>
      <w:r>
        <w:rPr>
          <w:color w:val="00274C"/>
          <w:sz w:val="20"/>
          <w:szCs w:val="20"/>
          <w:u w:val="none"/>
        </w:rPr>
        <w:t xml:space="preserve">Elle identifie les huiles en fonction de la viscosité, sans tenir compte d’aucune autre caractéristique qualitative.</w:t>
      </w:r>
    </w:p>
    <w:p>
      <w:pPr>
        <w:numPr>
          <w:ilvl w:val="0"/>
          <w:numId w:val="16399"/>
        </w:numPr>
        <w:spacing w:before="0" w:after="0" w:line="240" w:lineRule="auto"/>
        <w:jc w:val="left"/>
        <w:rPr>
          <w:color w:val="00274C"/>
          <w:sz w:val="20"/>
          <w:szCs w:val="20"/>
        </w:rPr>
      </w:pPr>
      <w:r>
        <w:rPr>
          <w:color w:val="00274C"/>
          <w:sz w:val="20"/>
          <w:szCs w:val="20"/>
          <w:u w:val="none"/>
        </w:rPr>
        <w:t xml:space="preserve">Le code est composé de deux numéros qui indiquent et doivent correspondre à la température ambiante à laquelle le moteur fonctionne, avec l'interposition d'un « </w:t>
      </w:r>
      <w:r>
        <w:rPr>
          <w:b/>
          <w:bCs/>
          <w:color w:val="00274C"/>
          <w:sz w:val="20"/>
          <w:szCs w:val="20"/>
          <w:u w:val="none"/>
        </w:rPr>
        <w:t xml:space="preserve">W</w:t>
      </w:r>
      <w:r>
        <w:rPr>
          <w:color w:val="00274C"/>
          <w:sz w:val="20"/>
          <w:szCs w:val="20"/>
          <w:u w:val="none"/>
        </w:rPr>
        <w:t xml:space="preserve"> », où le premier chiffre détermine la valeur en condition de températures très froides, alors que le deuxième détermine la valeur en condition de températures élevées.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0000"/>
          <w:sz w:val="20"/>
          <w:szCs w:val="20"/>
          <w:u w:val="none"/>
        </w:rPr>
        <w:t xml:space="preserve">Utiliser la viscosité d'huile basée sur la plage de température de l'air observée pendant la période entre les vidanges d'huile, comme indiqué dans le tableau ci-dessous.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Rehlko X-treme 10W-40 formula pro ; X-treme 10W-40 ; X-treme 5W-40 sont recommandées en priorité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16281579" name="name66686a9e744e505e0"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96126a9e744e505de"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96058018" name="name76036a9e744e58016"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31426a9e744e58013"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84576927" name="name47926a9e744e5f6e8"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52406a9e744e5f6e5"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Les huiles répondant aux spécifications suivantes sont également recommandées.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2.2</w:t>
      </w:r>
    </w:p>
    <w:p>
      <w:pPr>
        <w:widowControl w:val="on"/>
        <w:pBdr/>
        <w:spacing w:before="0" w:after="0" w:line="262" w:lineRule="auto"/>
        <w:ind w:left="0" w:right="0"/>
        <w:jc w:val="righ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6"/>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HUILE PRESCRIT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0w-40 (-40°C ÷ +50°C)</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AVEC SPÉCIFICATIONS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API</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CI-4 Plus CI-4</w:t>
            </w:r>
            <w:r>
              <w:rPr>
                <w:color w:val="00274C"/>
                <w:position w:val="-2"/>
                <w:sz w:val="20"/>
                <w:szCs w:val="20"/>
                <w:u w:val="none"/>
                <w:shd w:val="clear" w:color="auto" w:fill="E1E2E0"/>
              </w:rPr>
              <w:br/>
              <w:b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ACEA</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E5</w:t>
            </w:r>
          </w:p>
        </w:tc>
      </w:tr>
    </w:tbl>
    <w:p>
      <w:pPr>
        <w:widowControl w:val="on"/>
        <w:pBdr/>
        <w:spacing w:before="0" w:after="0" w:line="262" w:lineRule="auto"/>
        <w:ind w:left="0" w:right="0"/>
        <w:jc w:val="left"/>
      </w:pPr>
      <w:r>
        <w:rPr>
          <w:color w:val="00274C"/>
          <w:sz w:val="20"/>
          <w:szCs w:val="20"/>
          <w:u w:val="none"/>
        </w:rPr>
        <w:t xml:space="preserve"> </w:t>
      </w:r>
    </w:p>
    <w:p>
      <w:pPr>
        <w:numPr>
          <w:ilvl w:val="0"/>
          <w:numId w:val="16399"/>
        </w:numPr>
        <w:spacing w:before="0" w:after="0" w:line="240" w:lineRule="auto"/>
        <w:jc w:val="left"/>
        <w:rPr>
          <w:color w:val="00274C"/>
          <w:sz w:val="20"/>
          <w:szCs w:val="20"/>
        </w:rPr>
      </w:pPr>
      <w:r>
        <w:rPr>
          <w:color w:val="00274C"/>
          <w:sz w:val="20"/>
          <w:szCs w:val="20"/>
          <w:u w:val="none"/>
        </w:rPr>
        <w:t xml:space="preserve">Les huiles « low SAPS », avec des cendres sulfatées 50 ppm.</w:t>
      </w:r>
    </w:p>
    <w:p>
      <w:pPr>
        <w:numPr>
          <w:ilvl w:val="0"/>
          <w:numId w:val="16399"/>
        </w:numPr>
        <w:spacing w:before="0" w:after="0" w:line="240" w:lineRule="auto"/>
        <w:jc w:val="left"/>
        <w:rPr>
          <w:color w:val="00274C"/>
          <w:sz w:val="20"/>
          <w:szCs w:val="20"/>
        </w:rPr>
      </w:pPr>
      <w:r>
        <w:rPr>
          <w:color w:val="00274C"/>
          <w:sz w:val="20"/>
          <w:szCs w:val="20"/>
          <w:u w:val="none"/>
        </w:rPr>
        <w:t xml:space="preserve">La filtration de l’huile est essentielle au fonctionnement et à la lubrification corrects ; toujours remplacer régulièrement les filtres comme spécifié dans ce manuel.</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Carburant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1238314" name="name84676a9e744e671b2"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3826a9e744e671af"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L’utilisation d’autres types de carburants pourrait endommager le moteur. Ne pas utiliser de carburant diesel sale ou des mélanges de carburant diesel et d’eau, cela pourrait entraîner de graves dysfonctionnements du moteur.</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Toute défaillance résultant de l’utilisation de carburants autres que ceux recommandée, ne sera pas prise en charge sous garantie.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79325289" name="name31636a9e744e6eb02"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21866a9e744e6eaff"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Avertissement</w:t>
            </w:r>
          </w:p>
          <w:p>
            <w:pPr>
              <w:numPr>
                <w:ilvl w:val="0"/>
                <w:numId w:val="16399"/>
              </w:numPr>
              <w:spacing w:before="0" w:after="0" w:line="262" w:lineRule="auto"/>
              <w:jc w:val="left"/>
              <w:rPr>
                <w:color w:val="00274C"/>
                <w:sz w:val="20"/>
                <w:szCs w:val="20"/>
              </w:rPr>
            </w:pPr>
            <w:r>
              <w:rPr>
                <w:color w:val="00274C"/>
                <w:position w:val="0"/>
                <w:sz w:val="20"/>
                <w:szCs w:val="20"/>
                <w:u w:val="none"/>
              </w:rPr>
              <w:t xml:space="preserve">Un carburant propre évite le colmatage des injecteurs de carburant. Nettoyer immédiatement tout déversement pendant le remplissage.</w:t>
            </w:r>
          </w:p>
          <w:p>
            <w:pPr>
              <w:numPr>
                <w:ilvl w:val="0"/>
                <w:numId w:val="16399"/>
              </w:numPr>
              <w:spacing w:before="0" w:after="0" w:line="262" w:lineRule="auto"/>
              <w:jc w:val="left"/>
              <w:rPr>
                <w:color w:val="00274C"/>
                <w:sz w:val="20"/>
                <w:szCs w:val="20"/>
              </w:rPr>
            </w:pPr>
            <w:r>
              <w:rPr>
                <w:color w:val="00274C"/>
                <w:position w:val="0"/>
                <w:sz w:val="20"/>
                <w:szCs w:val="20"/>
                <w:u w:val="none"/>
              </w:rPr>
              <w:t xml:space="preserve">Ne jamais stocker de carburant diesel dans des containers galvanisés (par ex. recouverts de zinc). Le carburant diesel et le revêtement galvanisés entraînent une réaction chimique entre eux, qui produit une floconnisation qui colmate rapidement les filtres ou entraîne une défaillance de la pompe à carburant et/ou de l’injecteur à carburant.</w:t>
            </w:r>
          </w:p>
          <w:p>
            <w:pPr>
              <w:numPr>
                <w:ilvl w:val="0"/>
                <w:numId w:val="16399"/>
              </w:numPr>
              <w:spacing w:before="0" w:after="0" w:line="262" w:lineRule="auto"/>
              <w:jc w:val="left"/>
              <w:rPr>
                <w:color w:val="00274C"/>
                <w:sz w:val="20"/>
                <w:szCs w:val="20"/>
              </w:rPr>
            </w:pPr>
            <w:r>
              <w:rPr>
                <w:color w:val="00274C"/>
                <w:position w:val="0"/>
                <w:sz w:val="20"/>
                <w:szCs w:val="20"/>
                <w:u w:val="none"/>
              </w:rPr>
              <w:t xml:space="preserve">Toute panne résultant de l'utilisation d'un carburant autre que  </w:t>
            </w:r>
            <w:r>
              <w:rPr>
                <w:b/>
                <w:bCs/>
                <w:color w:val="00274C"/>
                <w:position w:val="0"/>
                <w:sz w:val="20"/>
                <w:szCs w:val="20"/>
                <w:u w:val="none"/>
              </w:rPr>
              <w:t xml:space="preserve">Tab. 2.3, 2.4</w:t>
            </w:r>
            <w:r>
              <w:rPr>
                <w:color w:val="00274C"/>
                <w:position w:val="0"/>
                <w:sz w:val="20"/>
                <w:szCs w:val="20"/>
                <w:u w:val="none"/>
              </w:rPr>
              <w:t xml:space="preserve">  ne seront pas couverts par la garantie.</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Indice de cétane de 40 minimum. Un indice de cétane supérieur à 47 est préférable, en particulier pour des températures inférieures à –20 °C (–4 °F) ou des altitudes supérieures à 1675 m (5500 pieds).</w:t>
            </w:r>
          </w:p>
          <w:p/>
          <w:p/>
          <w:p>
            <w:pPr>
              <w:widowControl w:val="on"/>
              <w:pBdr/>
              <w:spacing w:before="0" w:after="0" w:line="262" w:lineRule="auto"/>
              <w:ind w:left="0" w:right="0"/>
              <w:jc w:val="left"/>
              <w:textAlignment w:val="center"/>
            </w:pPr>
            <w:r>
              <w:rPr>
                <w:b/>
                <w:bCs/>
                <w:color w:val="00274C"/>
                <w:position w:val="-2"/>
                <w:sz w:val="20"/>
                <w:szCs w:val="20"/>
                <w:u w:val="none"/>
              </w:rPr>
              <w:t xml:space="preserve">Moteurs à réglementation stricte (UE, États-Unis, Canada, Japon, Chine, Inde)</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UE EN 590</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Amérique du Nord ASTM D975 n° 2-D S15 ; n° 1-D S15</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Japon JIS K 2204 n° 1 ; n° 2</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Inde BS-V ULSD ; BS-VI ULSD</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Chine GB 19147-2016 ULSD GB 17691—2018 ULSD</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HVO EN 15940 ou ASTM D975</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Carburant militaire OTAN F-54 S &lt; 10 ppm</w:t>
            </w:r>
          </w:p>
          <w:p/>
          <w:p/>
          <w:p>
            <w:pPr>
              <w:widowControl w:val="on"/>
              <w:pBdr/>
              <w:spacing w:before="0" w:after="0" w:line="262" w:lineRule="auto"/>
              <w:ind w:left="0" w:right="0"/>
              <w:jc w:val="left"/>
              <w:textAlignment w:val="center"/>
            </w:pPr>
            <w:r>
              <w:rPr>
                <w:b/>
                <w:bCs/>
                <w:color w:val="00274C"/>
                <w:position w:val="-2"/>
                <w:sz w:val="20"/>
                <w:szCs w:val="20"/>
                <w:u w:val="none"/>
              </w:rPr>
              <w:t xml:space="preserve">Moteurs non réglementés ou soumis à des normes moins strictes (Reste du monde et applications militaires)</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Équivalent aux spécifications ci-dessus</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Équivalent aux spécifications ci-dessus, mais avec une teneur en soufre &lt; 500 ppm</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Équivalent aux spécifications ci-dessus, mais avec une teneur en soufre &lt; 2 000 ppm</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F-34/F-35 (Kérosène, désignation OTAN)  </w:t>
            </w:r>
            <w:r>
              <w:rPr>
                <w:b/>
                <w:bCs/>
                <w:color w:val="00274C"/>
                <w:position w:val="-2"/>
                <w:sz w:val="20"/>
                <w:szCs w:val="20"/>
                <w:u w:val="none"/>
              </w:rPr>
              <w:t xml:space="preserve">(1)</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F-44 (Kérosène, désignation OTAN)  </w:t>
            </w:r>
            <w:r>
              <w:rPr>
                <w:b/>
                <w:bCs/>
                <w:color w:val="00274C"/>
                <w:position w:val="-2"/>
                <w:sz w:val="20"/>
                <w:szCs w:val="20"/>
                <w:u w:val="none"/>
              </w:rPr>
              <w:t xml:space="preserve">(1)</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F-63 (Kérosène, désignation OTAN, équivalent au F-34/F-35 avec additifs)  </w:t>
            </w:r>
            <w:r>
              <w:rPr>
                <w:b/>
                <w:bCs/>
                <w:color w:val="00274C"/>
                <w:position w:val="-2"/>
                <w:sz w:val="20"/>
                <w:szCs w:val="20"/>
                <w:u w:val="none"/>
              </w:rPr>
              <w:t xml:space="preserve">(1)</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JP-8 (Kérosène, désignation militaire américaine)  </w:t>
            </w:r>
            <w:r>
              <w:rPr>
                <w:b/>
                <w:bCs/>
                <w:color w:val="00274C"/>
                <w:position w:val="-2"/>
                <w:sz w:val="20"/>
                <w:szCs w:val="20"/>
                <w:u w:val="none"/>
              </w:rPr>
              <w:t xml:space="preserve">(1)</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JP-5 (Kérosène, désignation militaire américaine)  </w:t>
            </w:r>
            <w:r>
              <w:rPr>
                <w:b/>
                <w:bCs/>
                <w:color w:val="00274C"/>
                <w:position w:val="-2"/>
                <w:sz w:val="20"/>
                <w:szCs w:val="20"/>
                <w:u w:val="none"/>
              </w:rPr>
              <w:t xml:space="preserve">(1)</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Jet A/A1 (civil) Kérosène d'aviation)  </w:t>
            </w:r>
            <w:r>
              <w:rPr>
                <w:b/>
                <w:bCs/>
                <w:color w:val="00274C"/>
                <w:position w:val="-2"/>
                <w:sz w:val="20"/>
                <w:szCs w:val="20"/>
                <w:u w:val="none"/>
              </w:rPr>
              <w:t xml:space="preserve">(1)</w:t>
            </w:r>
          </w:p>
          <w:p/>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Utilisation de carburants d'aviation : Les carburants d'aviation ne peuvent être utilisés qu'avec un filtre à carburant supplémentaire muni d'un dispositif de dosage de lubrification. En raison de leur faible densité et des pertes de volume accrues dues à leur viscosité réduite, une perte de puissance pouvant atteindre 10 % est possible, selon le régime moteur et le couple. Les carburants d'aviation mentionnés présentent certaines propriétés problématiques (viscosité, pouvoir lubrifiant et point d'ébullition bas). Une légère augmentation de l'usure du système d'injection est à prévoir, ce qui peut entraîner une réduction statistique de la durée de vie de ces composants. La teneur en soufre doit être inférieure à 2 000 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Additifs pour carburant</w:t>
            </w:r>
          </w:p>
          <w:p>
            <w:pPr>
              <w:widowControl w:val="on"/>
              <w:pBdr/>
              <w:spacing w:before="0" w:after="0" w:line="262" w:lineRule="auto"/>
              <w:ind w:left="0" w:right="0"/>
              <w:jc w:val="left"/>
              <w:textAlignment w:val="center"/>
            </w:pPr>
            <w:r>
              <w:rPr>
                <w:color w:val="00274C"/>
                <w:position w:val="-2"/>
                <w:sz w:val="20"/>
                <w:szCs w:val="20"/>
                <w:u w:val="none"/>
              </w:rPr>
              <w:t xml:space="preserve">Afin de maintenir les performances du circuit d'injection, Rehlko a développé une gamme de produits additifs pour le marché nord-américain.</w:t>
            </w:r>
          </w:p>
          <w:p/>
          <w:p/>
          <w:p>
            <w:pPr>
              <w:widowControl w:val="on"/>
              <w:pBdr/>
              <w:spacing w:before="0" w:after="0" w:line="262" w:lineRule="auto"/>
              <w:ind w:left="0" w:right="0"/>
              <w:jc w:val="left"/>
              <w:textAlignment w:val="center"/>
            </w:pPr>
            <w:r>
              <w:rPr>
                <w:color w:val="00274C"/>
                <w:position w:val="-2"/>
                <w:sz w:val="20"/>
                <w:szCs w:val="20"/>
                <w:u w:val="none"/>
              </w:rPr>
              <w:t xml:space="preserve">L'additif pour carburant  </w:t>
            </w:r>
            <w:r>
              <w:rPr>
                <w:b/>
                <w:bCs/>
                <w:color w:val="00274C"/>
                <w:position w:val="-2"/>
                <w:sz w:val="20"/>
                <w:szCs w:val="20"/>
                <w:u w:val="none"/>
              </w:rPr>
              <w:t xml:space="preserve">Extra Performance</w:t>
            </w:r>
            <w:r>
              <w:rPr>
                <w:color w:val="00274C"/>
                <w:position w:val="-2"/>
                <w:sz w:val="20"/>
                <w:szCs w:val="20"/>
                <w:u w:val="none"/>
              </w:rPr>
              <w:t xml:space="preserve">   </w:t>
            </w:r>
            <w:r>
              <w:rPr>
                <w:b/>
                <w:bCs/>
                <w:color w:val="00274C"/>
                <w:position w:val="-2"/>
                <w:sz w:val="20"/>
                <w:szCs w:val="20"/>
                <w:u w:val="none"/>
              </w:rPr>
              <w:t xml:space="preserve">Arctic Formula</w:t>
            </w:r>
            <w:r>
              <w:rPr>
                <w:color w:val="00274C"/>
                <w:position w:val="-2"/>
                <w:sz w:val="20"/>
                <w:szCs w:val="20"/>
                <w:u w:val="none"/>
              </w:rPr>
              <w:t xml:space="preserve">  est une formule hivernale  </w:t>
            </w:r>
            <w:r>
              <w:rPr>
                <w:b/>
                <w:bCs/>
                <w:color w:val="00274C"/>
                <w:position w:val="-2"/>
                <w:sz w:val="20"/>
                <w:szCs w:val="20"/>
                <w:u w:val="none"/>
              </w:rPr>
              <w:t xml:space="preserve">Extra Performance Fuel Additive</w:t>
            </w:r>
            <w:r>
              <w:rPr>
                <w:color w:val="00274C"/>
                <w:position w:val="-2"/>
                <w:sz w:val="20"/>
                <w:szCs w:val="20"/>
                <w:u w:val="none"/>
              </w:rPr>
              <w:t xml:space="preserve">  qui nettoie et prévient les dépôts dans les injecteurs. Contactez votre concessionnaire Rehlko pour connaître sa disponibilité.</w:t>
            </w:r>
          </w:p>
          <w:p/>
          <w:p/>
          <w:p>
            <w:pPr>
              <w:widowControl w:val="on"/>
              <w:pBdr/>
              <w:spacing w:before="0" w:after="0" w:line="262" w:lineRule="auto"/>
              <w:ind w:left="0" w:right="0"/>
              <w:jc w:val="left"/>
              <w:textAlignment w:val="center"/>
            </w:pPr>
            <w:r>
              <w:rPr>
                <w:rFonts w:ascii="Arial" w:hAnsi="Arial" w:eastAsia="Arial" w:cs="Arial"/>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(Amérique du Nord seulement)</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r>
                    <w:rPr>
                      <w:position w:val="-620"/>
                    </w:rPr>
                    <w:drawing>
                      <wp:inline distT="0" distB="0" distL="0" distR="0">
                        <wp:extent cx="1591200" cy="3924000"/>
                        <wp:effectExtent b="0" l="0" r="0" t="0"/>
                        <wp:docPr id="69831499" name="name78436a9e744e799b7"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85656a9e744e799b4"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Utilisez l'additif pour carburant diesel Rehlko Injector Cleaner avant de faire le plein une fois par an ou toutes les 500 heures, que ce soit avec du carburant été ou hiver. Sa formule nettoie les dépôts sur les injecteurs et lubrifie la pompe haute pression et les injecteurs afin de réduire l'usure et d'améliorer la qualité du carburant. Compatible avec tous les systèmes d'échappement, y compris les filtres à particules diesel (FAP). Suivez scrupuleusement les instructions figurant sur l'étiquette du produit.</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(Amérique du Nord seulement)</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732"/>
                    </w:rPr>
                    <w:drawing>
                      <wp:inline distT="0" distB="0" distL="0" distR="0">
                        <wp:extent cx="1864800" cy="4622400"/>
                        <wp:effectExtent b="0" l="0" r="0" t="0"/>
                        <wp:docPr id="34506084" name="name34816a9e744e7e0c9"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43156a9e744e7e0c6"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Utilisez l'additif pour carburant Rehlko Extra Performance Arctic Formula, contenant un agent antigel, pour traiter le carburant non hivernal (n° 2-D en Amérique du Nord) par temps froid. Ceci permet une utilisation prolongée jusqu'à environ 10 °C (18 °F) en dessous du point de cristallisation de la paraffine. Pour une utilisation par températures encore plus basses, utilisez du carburant hivernal. Traitez le carburant lorsque la température extérieure descend en dessous de 0 °C (32 °F). Pour des résultats optimaux, utilisez du carburant non traité et suivez scrupuleusement les instructions figurant sur l'étiquette du produit.</w:t>
                  </w:r>
                </w:p>
                <w:p/>
                <w:p/>
                <w:p>
                  <w:pPr>
                    <w:widowControl w:val="on"/>
                    <w:pBdr/>
                    <w:spacing w:before="0" w:after="0" w:line="262" w:lineRule="auto"/>
                    <w:ind w:left="0" w:right="0"/>
                    <w:jc w:val="left"/>
                    <w:textAlignment w:val="center"/>
                  </w:pPr>
                  <w:r>
                    <w:rPr>
                      <w:color w:val="00274C"/>
                      <w:position w:val="-2"/>
                      <w:sz w:val="20"/>
                      <w:szCs w:val="20"/>
                      <w:u w:val="none"/>
                    </w:rPr>
                    <w:t xml:space="preserve">Le point de cristallisation de la paraffine est la température à laquelle la paraffine commence à se déposer dans le carburant, provoquant l'encrassement des filtres.</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Les additifs pour carburant ayant des fonctions biocides/algicides ne sont autorisés que pour le carburant stocké dans des réservoirs pendant de longues périodes (un an ou plus).</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Pour obtenir des suggestions de produits, veuillez contacter le personnel de Rehlko.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REMARQUE :</w:t>
                  </w:r>
                  <w:r>
                    <w:rPr>
                      <w:color w:val="00274C"/>
                      <w:position w:val="-2"/>
                      <w:sz w:val="20"/>
                      <w:szCs w:val="20"/>
                      <w:u w:val="none"/>
                    </w:rPr>
                    <w:t xml:space="preserve">  Ces additifs doivent être dilués en pourcentage conformément à la prescription du produit lors du remplissage du réservoir.</w:t>
                  </w:r>
                </w:p>
              </w:tc>
              <w:tc>
                <w:tcPr>
                  <w:gridSpan w:val="1"/>
                  <w:vMerge w:val="continue"/>
                  <w:tcBorders>
                    <w:top w:val="single" w:color="CCCCCC" w:sz="5"/>
                    <w:left w:val="single" w:color="CCCCCC" w:sz="5"/>
                    <w:bottom w:val="single" w:color="CCCCCC" w:sz="5"/>
                    <w:right w:val="single" w:color="CCCCCC" w:sz="5"/>
                  </w:tcBorders>
                </w:tcP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Recommandation pour les liquides de refroidissement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Il est préférable d'utiliser le liquide de refroidissement prémélangé Rehlko Xtended™ contenant 50 % d'éthylène glycol OAT.</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86954024" name="name76126a9e744e858d1"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89506a9e744e858cf"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Il est également recommandé d'utiliser des fluides frigorigènes conformes aux spécifications suivantes. </w:t>
            </w:r>
          </w:p>
          <w:p/>
          <w:p/>
          <w:p>
            <w:pPr>
              <w:widowControl w:val="on"/>
              <w:pBdr/>
              <w:spacing w:before="0" w:after="0" w:line="262" w:lineRule="auto"/>
              <w:ind w:left="0" w:right="0"/>
              <w:jc w:val="left"/>
              <w:textAlignment w:val="center"/>
            </w:pPr>
            <w:r>
              <w:rPr>
                <w:color w:val="00274C"/>
                <w:position w:val="-2"/>
                <w:sz w:val="20"/>
                <w:szCs w:val="20"/>
                <w:u w:val="none"/>
              </w:rPr>
              <w:t xml:space="preserve">Un mélange de 50 % d’eau déminéralisée et de 50 % d’éthylène glycol à faible teneur en silicate doit être utilisé pour le liquide de refroidissement. Utiliser un réfrigérant Longue Durée ou OAT à Durée de vie prolongée exempt de : silicates, phosphates, borates, nitrites et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réfrigérant moteur suivant à base d’éthylène-glycol peut être utilisé pour tous les modèles de la gamme de moteurs KSD: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OAT (à base d’acide organique) Faible teneur en silicates :  </w:t>
            </w:r>
            <w:r>
              <w:rPr>
                <w:b/>
                <w:bCs/>
                <w:color w:val="00274C"/>
                <w:position w:val="-2"/>
                <w:sz w:val="20"/>
                <w:szCs w:val="20"/>
                <w:u w:val="none"/>
              </w:rPr>
              <w:t xml:space="preserve">ASTM D-3306 D-6210</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HOAT (à base d’acide organique hybride) Faible teneur en silicates :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Les liquides de refroidissement suivants en formule concentrée doivent être mélangés avec de l’eau distillée, déionisée ou déminéralisée. Une formule pré-mélangée (40-60 % ou 50-50 %) peut être utilisée directement le cas échéant.</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5808280" name="name38936a9e744e9306c"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8606a9e744e9306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Ne pas mélanger de liquides de refroidissement à base d’éthylène glycol et de propylène glycol. Ne pas mélanger de liquides de refroidissement à base d’OAT et d’HOAT. La durée de vie OAT peut être considérablement réduite en cas de contamination avec des liquides de refroidissement contenant du nitrite.</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Ne jamais utiliser des liquides de refroidissement de type automobile. Ces liquides de refroidissement ne contiennent pas les additifs appropriés pour protéger les moteurs diesel haute performance.</w:t>
            </w:r>
          </w:p>
          <w:p/>
          <w:p/>
          <w:p>
            <w:pPr>
              <w:widowControl w:val="on"/>
              <w:pBdr/>
              <w:spacing w:before="0" w:after="0" w:line="262" w:lineRule="auto"/>
              <w:ind w:left="0" w:right="0"/>
              <w:jc w:val="left"/>
              <w:textAlignment w:val="center"/>
            </w:pPr>
            <w:r>
              <w:rPr>
                <w:color w:val="00274C"/>
                <w:position w:val="-2"/>
                <w:sz w:val="20"/>
                <w:szCs w:val="20"/>
                <w:u w:val="none"/>
              </w:rPr>
              <w:t xml:space="preserve">Les liquides de refroidissement OAT sont exempts de maintenance pendant maximum 5 ans ou 4000 heures de fonctionnement, à condition que le système de refroidissement soit complété avec le même type de réfrigérant. Ne pas mélanger différents types de réfrigérant. Tester tous les ans l’état du réfrigérant à l’aide de bandelettes d’essai de réfrigérant.</w:t>
            </w:r>
            <w:r>
              <w:rPr>
                <w:color w:val="00274C"/>
                <w:position w:val="-2"/>
                <w:sz w:val="20"/>
                <w:szCs w:val="20"/>
                <w:u w:val="none"/>
              </w:rPr>
              <w:br/>
              <w:t xml:space="preserve">Les liquides de refroidissement HOAT ne sont pas exempts de maintenance et il est recommandé d’ajouter des SCA (Additifs de refroidissement supplémentaires) au premier intervalle de maintenance.</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Caractéristiques des batteries</w:t>
      </w:r>
    </w:p>
    <w:p>
      <w:pPr>
        <w:widowControl w:val="on"/>
        <w:pBdr/>
        <w:spacing w:before="0" w:after="0" w:line="262" w:lineRule="auto"/>
        <w:ind w:left="0" w:right="0"/>
        <w:jc w:val="left"/>
      </w:pPr>
      <w:r>
        <w:rPr>
          <w:b/>
          <w:bCs/>
          <w:color w:val="00274C"/>
          <w:sz w:val="20"/>
          <w:szCs w:val="20"/>
          <w:u w:val="none"/>
        </w:rPr>
        <w:t xml:space="preserve">Batterie non fournie par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BATTERIES CONSEILLÉES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TEMPÉRATURE AMBIANTE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TYPE DE BATTERIE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&gt;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-15°C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110 Ah - 950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120 Ah - 1000 CCA/SAE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Entretien périodique</w:t>
      </w:r>
    </w:p>
    <w:p>
      <w:pPr>
        <w:widowControl w:val="on"/>
        <w:pBdr/>
        <w:spacing w:before="0" w:after="0" w:line="262" w:lineRule="auto"/>
        <w:ind w:left="0" w:right="0"/>
        <w:jc w:val="left"/>
      </w:pPr>
      <w:r>
        <w:rPr>
          <w:color w:val="00274C"/>
          <w:sz w:val="20"/>
          <w:szCs w:val="20"/>
          <w:u w:val="none"/>
        </w:rPr>
        <w:t xml:space="preserve">Les intervalles de la maintenance préventive se trouvent dans le </w:t>
      </w:r>
      <w:r>
        <w:rPr>
          <w:b/>
          <w:bCs/>
          <w:color w:val="00274C"/>
          <w:sz w:val="20"/>
          <w:szCs w:val="20"/>
          <w:u w:val="none"/>
        </w:rPr>
        <w:t xml:space="preserve">Tableau 2.8, Tableau 2.9, Tableau 2.10 et Tableau 2.11</w:t>
      </w:r>
      <w:r>
        <w:rPr>
          <w:color w:val="00274C"/>
          <w:sz w:val="20"/>
          <w:szCs w:val="20"/>
          <w:u w:val="none"/>
        </w:rPr>
        <w:t xml:space="preserve"> et se rapportent à une exploitation du moteur dans des conditions de fonctionnement normales avec un carburant et une huile conformes aux spécifications recommandées.</w:t>
      </w:r>
    </w:p>
    <w:p>
      <w:pPr>
        <w:widowControl w:val="on"/>
        <w:pBdr/>
        <w:spacing w:before="0" w:after="0" w:line="262" w:lineRule="auto"/>
        <w:ind w:left="0" w:right="0"/>
        <w:jc w:val="right"/>
      </w:pPr>
      <w:r>
        <w:rPr>
          <w:b/>
          <w:bCs/>
          <w:color w:val="00274C"/>
          <w:sz w:val="20"/>
          <w:szCs w:val="20"/>
          <w:u w:val="none"/>
        </w:rPr>
        <w:br/>
        <w:t xml:space="preserve">2.8</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NETTOYAGE ET CONTROLE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DESCRIPTION DES OPERATIONS</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INTERVALLE (HEURES)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Niveau d’huile moteur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Niveau du liquide de refroidissement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Présence d’eau dans le filtre à carburant</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air de type cartouche sèche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Surface d’échange de chaleur du radiateur et refroid. </w:t>
            </w:r>
            <w:r>
              <w:rPr>
                <w:color w:val="00274C"/>
                <w:position w:val="3"/>
                <w:sz w:val="17"/>
                <w:szCs w:val="17"/>
                <w:u w:val="none"/>
                <w:shd w:val="clear" w:color="auto" w:fill="E1E2E0"/>
                <w:vertAlign w:val="superscript"/>
                <w:vertAlign w:val="superscript"/>
              </w:rPr>
              <w:t xml:space="preserve">(2) (8)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Courroie d’alternateur standard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Courroie d’alternateur Poly-V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en caoutchouc (air d’admission / liquide de refr.)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carburant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Démarreur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Alternateur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2.9</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REMPLACEMENT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DESCRIPTION DES OPERATIONS</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INTERVALLE (HEURES)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air de type cartouche sèche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du collecteur d’admission (filtre à air - collecteur d’admission)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Tuyaux de liquide de refroidissement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la conduite de carburant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Courroie de l’alternateur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Courroie d’alternateur standard (trapézoïdale) </w:t>
            </w:r>
            <w:r>
              <w:rPr>
                <w:color w:val="00274C"/>
                <w:position w:val="3"/>
                <w:sz w:val="17"/>
                <w:szCs w:val="17"/>
                <w:u w:val="none"/>
                <w:shd w:val="clear" w:color="auto" w:fill="E1E2E0"/>
                <w:vertAlign w:val="superscript"/>
                <w:vertAlign w:val="superscript"/>
              </w:rPr>
              <w:t xml:space="preserve">(3)</w:t>
            </w:r>
          </w:p>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Condition environnementale difficile Courroie Poly-V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Condition standard Courroie Poly-V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Liquide de refroidissement</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2.10</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FILTRE A HUILE ET A HUILE MOTEUR - REMPLACEMENT DE LA CARTOUCHE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VERSION MOTEUR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INTERVALLE (HEURES)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injection mécanique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injection mécanique non certifiés </w:t>
            </w:r>
            <w:r>
              <w:rPr>
                <w:color w:val="00274C"/>
                <w:position w:val="3"/>
                <w:sz w:val="17"/>
                <w:szCs w:val="17"/>
                <w:u w:val="none"/>
                <w:shd w:val="clear" w:color="auto" w:fill="E1E2E0"/>
                <w:vertAlign w:val="superscript"/>
                <w:vertAlign w:val="superscript"/>
              </w:rPr>
              <w:t xml:space="preserve">(1) (11)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2.11</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FILTRE ET PRE-FILTRE A CARBURANT - REMPLACEMENT DE LA CARTOUCHE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VERSION MOTEUR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INTERVALLE (HEURES)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injection mécanique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injection mécanique non certifiés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(1) - En cas de faible consommation : 12 mois.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L’intervalle de temps qui doit s’écouler avant de contrôler l’élément filtrant, dépend de l’environnement d’exploitation du moteur. Le filtre à air doit être nettoyé et remplacé plus fréquemment dans des conditions très élevées de poussières.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En cas de faible consommation : 36 mois.
</w:t>
      </w:r>
    </w:p>
    <w:p>
      <w:pPr>
        <w:widowControl w:val="on"/>
        <w:pBdr/>
        <w:spacing w:before="0" w:after="0" w:line="262" w:lineRule="auto"/>
        <w:ind w:left="0" w:right="0"/>
        <w:jc w:val="left"/>
      </w:pPr>
      <w:r>
        <w:rPr>
          <w:color w:val="00274C"/>
          <w:sz w:val="20"/>
          <w:szCs w:val="20"/>
          <w:u w:val="none"/>
        </w:rPr>
        <w:t xml:space="preserve">(7) - L’intervalle de remplacement est uniquement une indication, il dépend essentiellement des conditions environnementales et de l’état des tuyaux contrôlé à l’occasion d’une inspection visuelle régulière.</w:t>
      </w:r>
    </w:p>
    <w:p>
      <w:pPr>
        <w:widowControl w:val="on"/>
        <w:pBdr/>
        <w:spacing w:before="0" w:after="0" w:line="262" w:lineRule="auto"/>
        <w:ind w:left="0" w:right="0"/>
        <w:jc w:val="left"/>
      </w:pPr>
      <w:r>
        <w:rPr>
          <w:color w:val="00274C"/>
          <w:sz w:val="20"/>
          <w:szCs w:val="20"/>
          <w:u w:val="none"/>
        </w:rPr>
        <w:t xml:space="preserve">(8) - Le premier contrôle doit être effectué au bout de 10 heures.</w:t>
      </w:r>
    </w:p>
    <w:p>
      <w:pPr>
        <w:widowControl w:val="on"/>
        <w:pBdr/>
        <w:spacing w:before="0" w:after="0" w:line="262" w:lineRule="auto"/>
        <w:ind w:left="0" w:right="0"/>
        <w:jc w:val="left"/>
      </w:pPr>
      <w:r>
        <w:rPr>
          <w:color w:val="00274C"/>
          <w:sz w:val="20"/>
          <w:szCs w:val="20"/>
          <w:u w:val="none"/>
        </w:rPr>
        <w:t xml:space="preserve">(9) - Tester tous les ans l’état du réfrigérant à l’aide de bandelettes d’essai de réfrigérant.</w:t>
      </w:r>
      <w:r>
        <w:rPr>
          <w:color w:val="00274C"/>
          <w:sz w:val="20"/>
          <w:szCs w:val="20"/>
          <w:u w:val="none"/>
        </w:rPr>
        <w:br/>
        <w:t xml:space="preserve">(10) - Il est recommandé d’ajouter des SCA (Additifs de refroidissement supplémentaires) au premier intervalle de maintenance.</w:t>
      </w:r>
    </w:p>
    <w:p>
      <w:pPr>
        <w:widowControl w:val="on"/>
        <w:pBdr/>
        <w:spacing w:before="0" w:after="0" w:line="262" w:lineRule="auto"/>
        <w:ind w:left="0" w:right="0"/>
        <w:jc w:val="left"/>
      </w:pPr>
      <w:r>
        <w:rPr>
          <w:color w:val="00274C"/>
          <w:sz w:val="20"/>
          <w:szCs w:val="20"/>
          <w:u w:val="none"/>
        </w:rPr>
        <w:t xml:space="preserve">(11) - Voir le cap. 2.5 "Moteurs KDI à injection mécanique non certifiés (pas de moteurs EGR)"</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Circuit carburant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2.9.1 Circuit d'alimentation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1252006" name="name63686a9e744eab15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5396a9e744eab15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Le système d’injection à haute pression est extrêmement susceptible de subir des dommages si le carburant est contaminé.</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Il est extrêmement important que tous les composants liés au circuit d’injection soient minutieusement nettoyés avant d’être retirés.</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Laver et nettoyer méticuleusement le moteur avant d’effectuer l’entretien.</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Laver et nettoyer méticuleusement le moteur avant d’effectuer l’entretien.</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Le lavage du moteur, au moyen d’une lance à haute pression, doit être effectué à une distance supérieure à 200 mm du moteur.</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Le circuit d’alimentation du carburant est sous basse pression du réservoir </w:t>
            </w:r>
            <w:r>
              <w:rPr>
                <w:b/>
                <w:bCs/>
                <w:color w:val="00274C"/>
                <w:position w:val="-2"/>
                <w:sz w:val="20"/>
                <w:szCs w:val="20"/>
                <w:u w:val="none"/>
              </w:rPr>
              <w:t xml:space="preserve">1</w:t>
            </w:r>
            <w:r>
              <w:rPr>
                <w:color w:val="00274C"/>
                <w:position w:val="-2"/>
                <w:sz w:val="20"/>
                <w:szCs w:val="20"/>
                <w:u w:val="none"/>
              </w:rPr>
              <w:t xml:space="preserve"> jusqu’à la pompe à injection du carburant à haute pression </w:t>
            </w:r>
            <w:r>
              <w:rPr>
                <w:b/>
                <w:bCs/>
                <w:color w:val="00274C"/>
                <w:position w:val="-2"/>
                <w:sz w:val="20"/>
                <w:szCs w:val="20"/>
                <w:u w:val="none"/>
              </w:rPr>
              <w:t xml:space="preserve">5</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 La représentation du réservoir du carburant est purement indicative. Composant non nécessairement fourni par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Réservoir à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d'alimentation du carburant, du réservoir à la pompe à injection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du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électrique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à injection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d'injection haute pression, de la pompe à injection aux injecteurs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Injecteurs</w:t>
                  </w:r>
                </w:p>
              </w:tc>
            </w:tr>
          </w:tbl>
          <w:p/>
        </w:tc>
        <w:tc>
          <w:tcPr>
            <w:tcW w:w="0" w:type="auto"/>
            <w:tcMar>
              <w:top w:w="150" w:type="dxa"/>
              <w:left w:w="150" w:type="dxa"/>
              <w:bottom w:w="150" w:type="dxa"/>
              <w:right w:w="150" w:type="dxa"/>
            </w:tcMar>
            <w:vAlign w:val="top"/>
          </w:tcPr>
          <w:p>
            <w:r>
              <w:rPr>
                <w:position w:val="-378"/>
              </w:rPr>
              <w:drawing>
                <wp:inline distT="0" distB="0" distL="0" distR="0">
                  <wp:extent cx="2217600" cy="2426400"/>
                  <wp:effectExtent b="0" l="0" r="0" t="0"/>
                  <wp:docPr id="63084623" name="name16726a9e744eb76ed" descr="Fig._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jpg"/>
                          <pic:cNvPicPr/>
                        </pic:nvPicPr>
                        <pic:blipFill>
                          <a:blip r:embed="rId49546a9e744eb76ea" cstate="print"/>
                          <a:stretch>
                            <a:fillRect/>
                          </a:stretch>
                        </pic:blipFill>
                        <pic:spPr>
                          <a:xfrm>
                            <a:off x="0" y="0"/>
                            <a:ext cx="2217600" cy="24264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2.9.2 Circuit de retour de carburant</w:t>
            </w:r>
          </w:p>
          <w:p>
            <w:pPr>
              <w:widowControl w:val="on"/>
              <w:pBdr/>
              <w:spacing w:before="0" w:after="0" w:line="262" w:lineRule="auto"/>
              <w:ind w:left="0" w:right="0"/>
              <w:jc w:val="left"/>
              <w:textAlignment w:val="center"/>
            </w:pPr>
            <w:r>
              <w:rPr>
                <w:color w:val="00274C"/>
                <w:position w:val="-2"/>
                <w:sz w:val="20"/>
                <w:szCs w:val="20"/>
                <w:u w:val="none"/>
              </w:rPr>
              <w:t xml:space="preserve"> </w:t>
            </w:r>
            <w:r>
              <w:rPr>
                <w:color w:val="00274C"/>
                <w:position w:val="-2"/>
                <w:sz w:val="20"/>
                <w:szCs w:val="20"/>
                <w:u w:val="none"/>
              </w:rPr>
              <w:br/>
              <w:t xml:space="preserve">Le circuit de retour de carburant est à basse pression.</w:t>
            </w:r>
          </w:p>
          <w:p/>
          <w:p/>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 La représentation du réservoir du carburant est purement indicative. Composant non nécessairement fourni par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d’évacuation du carburant des injecteurs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à injection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Réservoir à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retour du carburant au réservoir</w:t>
                  </w:r>
                </w:p>
              </w:tc>
            </w:tr>
          </w:tbl>
          <w:p/>
        </w:tc>
        <w:tc>
          <w:tcPr>
            <w:tcW w:w="0" w:type="auto"/>
            <w:tcMar>
              <w:top w:w="150" w:type="dxa"/>
              <w:left w:w="150" w:type="dxa"/>
              <w:bottom w:w="150" w:type="dxa"/>
              <w:right w:w="150" w:type="dxa"/>
            </w:tcMar>
            <w:vAlign w:val="top"/>
          </w:tcPr>
          <w:p>
            <w:r>
              <w:rPr>
                <w:position w:val="-310"/>
              </w:rPr>
              <w:drawing>
                <wp:inline distT="0" distB="0" distL="0" distR="0">
                  <wp:extent cx="2196000" cy="2001600"/>
                  <wp:effectExtent b="0" l="0" r="0" t="0"/>
                  <wp:docPr id="2909453" name="name30796a9e744ec4d48" descr="Fig.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5.jpg"/>
                          <pic:cNvPicPr/>
                        </pic:nvPicPr>
                        <pic:blipFill>
                          <a:blip r:embed="rId21726a9e744ec4d44" cstate="print"/>
                          <a:stretch>
                            <a:fillRect/>
                          </a:stretch>
                        </pic:blipFill>
                        <pic:spPr>
                          <a:xfrm>
                            <a:off x="0" y="0"/>
                            <a:ext cx="2196000" cy="20016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2.9.3 Pompe à injection</w:t>
            </w:r>
          </w:p>
          <w:p>
            <w:pPr>
              <w:widowControl w:val="on"/>
              <w:pBdr/>
              <w:spacing w:before="0" w:after="0" w:line="262" w:lineRule="auto"/>
              <w:ind w:left="0" w:right="0"/>
              <w:jc w:val="left"/>
              <w:textAlignment w:val="center"/>
            </w:pPr>
            <w:r>
              <w:rPr>
                <w:color w:val="00274C"/>
                <w:position w:val="-2"/>
                <w:sz w:val="20"/>
                <w:szCs w:val="20"/>
                <w:u w:val="none"/>
              </w:rPr>
              <w:t xml:space="preserve">La pression à l'entrée de la pompe à injection doit être positive dans toutes les conditions de fonctionnement.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La pompe à injection est actionnée par l'engrenage de commande de la pompe et elle envoie le carburant à haute pression aux injecteurs.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REMARQUE</w:t>
            </w:r>
            <w:r>
              <w:rPr>
                <w:color w:val="00274C"/>
                <w:position w:val="-2"/>
                <w:sz w:val="20"/>
                <w:szCs w:val="20"/>
                <w:u w:val="none"/>
              </w:rPr>
              <w:t xml:space="preserve"> : En cas de fuite du circuit haute pression, ne pas intervenir avec le moteur en marche, mais l’éteindre et attendre 5 à 10 minutes avant de.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 DES COMPOSANTS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Levier de l'accélérateur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Réglage du minimum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Réglage du maximum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Réglage du couple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Raccords de sortie du carburant en haute pression vers les injecteurs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 d'évacuation du carburant vers le réservoir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 d'aspiration du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Dispositif pour démarrage à froid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Joint d'étanchéité</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Arbre de commande de la pompe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Réglage de l'anticipation des éléments de pompage (bloqué)</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Étiquette d'identification de la pompe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Vis de désaération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Dispositif de blocage de l'arbre de commande de la pompe.</w:t>
                  </w:r>
                </w:p>
              </w:tc>
            </w:tr>
          </w:tbl>
          <w:p/>
        </w:tc>
        <w:tc>
          <w:tcPr>
            <w:tcW w:w="0" w:type="auto"/>
            <w:tcMar>
              <w:top w:w="150" w:type="dxa"/>
              <w:left w:w="150" w:type="dxa"/>
              <w:bottom w:w="150" w:type="dxa"/>
              <w:right w:w="150" w:type="dxa"/>
            </w:tcMar>
            <w:vAlign w:val="top"/>
          </w:tcPr>
          <w:p>
            <w:r>
              <w:rPr>
                <w:position w:val="-256"/>
              </w:rPr>
              <w:drawing>
                <wp:inline distT="0" distB="0" distL="0" distR="0">
                  <wp:extent cx="2491200" cy="1670400"/>
                  <wp:effectExtent b="0" l="0" r="0" t="0"/>
                  <wp:docPr id="9194053" name="name68096a9e744ed50fd" descr="Fig._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6.jpg"/>
                          <pic:cNvPicPr/>
                        </pic:nvPicPr>
                        <pic:blipFill>
                          <a:blip r:embed="rId36156a9e744ed50fa" cstate="print"/>
                          <a:stretch>
                            <a:fillRect/>
                          </a:stretch>
                        </pic:blipFill>
                        <pic:spPr>
                          <a:xfrm>
                            <a:off x="0" y="0"/>
                            <a:ext cx="2491200" cy="16704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2.6</w:t>
            </w:r>
            <w:r>
              <w:rPr>
                <w:position w:val="-264"/>
              </w:rPr>
              <w:drawing>
                <wp:inline distT="0" distB="0" distL="0" distR="0">
                  <wp:extent cx="2541600" cy="1713600"/>
                  <wp:effectExtent b="0" l="0" r="0" t="0"/>
                  <wp:docPr id="59970075" name="name43326a9e744edbff1" descr="Fig._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7.jpg"/>
                          <pic:cNvPicPr/>
                        </pic:nvPicPr>
                        <pic:blipFill>
                          <a:blip r:embed="rId58526a9e744edbfef" cstate="print"/>
                          <a:stretch>
                            <a:fillRect/>
                          </a:stretch>
                        </pic:blipFill>
                        <pic:spPr>
                          <a:xfrm>
                            <a:off x="0" y="0"/>
                            <a:ext cx="2541600" cy="1713600"/>
                          </a:xfrm>
                          <a:prstGeom prst="rect">
                            <a:avLst/>
                          </a:prstGeom>
                          <a:ln w="0">
                            <a:noFill/>
                          </a:ln>
                        </pic:spPr>
                      </pic:pic>
                    </a:graphicData>
                  </a:graphic>
                </wp:inline>
              </w:drawing>
            </w:r>
            <w:r>
              <w:rPr>
                <w:b/>
                <w:bCs/>
                <w:color w:val="00274C"/>
                <w:position w:val="0"/>
                <w:sz w:val="20"/>
                <w:szCs w:val="20"/>
                <w:u w:val="none"/>
              </w:rPr>
              <w:br/>
              <w:br/>
              <w:br/>
              <w:t xml:space="preserve">Fig 2.7</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2.9.4 Injecteur</w:t>
            </w:r>
          </w:p>
          <w:p/>
          <w:p/>
          <w:p>
            <w:pPr>
              <w:widowControl w:val="on"/>
              <w:pBdr/>
              <w:spacing w:before="0" w:after="0" w:line="262" w:lineRule="auto"/>
              <w:ind w:left="0" w:right="0"/>
              <w:jc w:val="left"/>
              <w:textAlignment w:val="center"/>
            </w:pPr>
            <w:r>
              <w:rPr>
                <w:color w:val="00274C"/>
                <w:position w:val="-2"/>
                <w:sz w:val="20"/>
                <w:szCs w:val="20"/>
                <w:u w:val="none"/>
              </w:rPr>
              <w:t xml:space="preserve">C'est le dispositif utilisé pour introduire le combustible, sous forme d'un ou plusieurs jets, adéquatement pulvérisés et opportunément orientés, directement dans la chambre de combustion. Ils sont constitués d'un corps métallique avec, à l'intérieur, un élément mobile qui agit sur l'aiguille: celle-ci, en se soulevant contre l'action d'un ressort taré, permet la sortie du combustible sous haute pression.</w:t>
            </w:r>
          </w:p>
          <w:p/>
          <w:p/>
          <w:p>
            <w:pPr>
              <w:widowControl w:val="on"/>
              <w:pBdr/>
              <w:spacing w:before="0" w:after="0" w:line="262" w:lineRule="auto"/>
              <w:ind w:left="0" w:right="0"/>
              <w:jc w:val="left"/>
              <w:textAlignment w:val="center"/>
            </w:pPr>
            <w:r>
              <w:rPr>
                <w:b/>
                <w:bCs/>
                <w:color w:val="00274C"/>
                <w:position w:val="-2"/>
                <w:sz w:val="20"/>
                <w:szCs w:val="20"/>
                <w:u w:val="none"/>
              </w:rPr>
              <w:t xml:space="preserve">Pression d'ouverture : 260-268 bar (3770-3886 PSI)</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8662705" name="name32296a9e744edfe0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9446a9e744edfe0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Les injecteurs sont calibrés individuellement.</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La contamination du carburant provoque de graves dommages au système d'injection.</w:t>
            </w:r>
          </w:p>
          <w:p>
            <w:pPr>
              <w:widowControl w:val="on"/>
              <w:pBdr/>
              <w:spacing w:before="0" w:after="0" w:line="262" w:lineRule="auto"/>
              <w:ind w:left="0" w:right="0"/>
              <w:jc w:val="left"/>
              <w:textAlignment w:val="center"/>
            </w:pPr>
            <w:r>
              <w:rPr>
                <w:b/>
                <w:bCs/>
                <w:color w:val="00274C"/>
                <w:position w:val="-2"/>
                <w:sz w:val="20"/>
                <w:szCs w:val="20"/>
                <w:u w:val="none"/>
              </w:rPr>
              <w:t xml:space="preserve">Tab 2.15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 DES COMPOSANTS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 d'entrée du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Joint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Joint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Pulvérisateur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Trou d'évacuation</w:t>
                  </w:r>
                </w:p>
              </w:tc>
            </w:tr>
          </w:tbl>
          <w:p/>
        </w:tc>
        <w:tc>
          <w:tcPr>
            <w:tcW w:w="0" w:type="auto"/>
            <w:tcMar>
              <w:top w:w="150" w:type="dxa"/>
              <w:left w:w="150" w:type="dxa"/>
              <w:bottom w:w="150" w:type="dxa"/>
              <w:right w:w="150" w:type="dxa"/>
            </w:tcMar>
            <w:vAlign w:val="top"/>
          </w:tcPr>
          <w:p>
            <w:r>
              <w:rPr>
                <w:position w:val="-390"/>
              </w:rPr>
              <w:drawing>
                <wp:inline distT="0" distB="0" distL="0" distR="0">
                  <wp:extent cx="1807200" cy="2505600"/>
                  <wp:effectExtent b="0" l="0" r="0" t="0"/>
                  <wp:docPr id="52094614" name="name46246a9e744eeacb6" descr="Fig._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8.jpg"/>
                          <pic:cNvPicPr/>
                        </pic:nvPicPr>
                        <pic:blipFill>
                          <a:blip r:embed="rId95706a9e744eeacb3" cstate="print"/>
                          <a:stretch>
                            <a:fillRect/>
                          </a:stretch>
                        </pic:blipFill>
                        <pic:spPr>
                          <a:xfrm>
                            <a:off x="0" y="0"/>
                            <a:ext cx="1807200" cy="2505600"/>
                          </a:xfrm>
                          <a:prstGeom prst="rect">
                            <a:avLst/>
                          </a:prstGeom>
                          <a:ln w="0">
                            <a:noFill/>
                          </a:ln>
                        </pic:spPr>
                      </pic:pic>
                    </a:graphicData>
                  </a:graphic>
                </wp:inline>
              </w:drawing>
            </w:r>
            <w:r>
              <w:rPr>
                <w:b/>
                <w:bCs/>
                <w:color w:val="00274C"/>
                <w:position w:val="0"/>
                <w:sz w:val="20"/>
                <w:szCs w:val="20"/>
                <w:u w:val="none"/>
              </w:rPr>
              <w:br/>
              <w:t xml:space="preserve">Fig 2.8</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2.9.5 Filtre à carburant</w:t>
            </w:r>
          </w:p>
          <w:p>
            <w:pPr>
              <w:widowControl w:val="on"/>
              <w:pBdr/>
              <w:spacing w:before="0" w:after="0" w:line="262" w:lineRule="auto"/>
              <w:ind w:left="0" w:right="0"/>
              <w:jc w:val="left"/>
              <w:textAlignment w:val="center"/>
            </w:pPr>
            <w:r>
              <w:rPr>
                <w:color w:val="00274C"/>
                <w:position w:val="-2"/>
                <w:sz w:val="20"/>
                <w:szCs w:val="20"/>
                <w:u w:val="none"/>
              </w:rPr>
              <w:t xml:space="preserve">Le filtre à carburant est monté sur le carter du moteur ou bien il est fourni avec le moteur pour être monté sur le châssis de la machine.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 DES COMPOSANTS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Support filtre cartouche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Vis de désaération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Cartouche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Capteur présence d'eau dans le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Trou de sortie de l'eau</w:t>
                  </w:r>
                </w:p>
              </w:tc>
            </w:tr>
          </w:tbl>
          <w:p/>
          <w:p/>
          <w:p/>
          <w:p>
            <w:pPr>
              <w:widowControl w:val="on"/>
              <w:pBdr/>
              <w:spacing w:before="0" w:after="0" w:line="240" w:lineRule="auto"/>
              <w:ind w:left="0" w:right="0"/>
              <w:jc w:val="left"/>
            </w:pPr>
            <w:r>
              <w:rPr>
                <w:b/>
                <w:bCs/>
                <w:color w:val="00274C"/>
                <w:position w:val="-2"/>
                <w:sz w:val="20"/>
                <w:szCs w:val="20"/>
                <w:u w:val="none"/>
              </w:rPr>
              <w:t xml:space="preserve">Tab 2.17 </w:t>
            </w:r>
            <w:r>
              <w:rPr>
                <w:color w:val="00274C"/>
                <w:position w:val="-2"/>
                <w:sz w:val="20"/>
                <w:szCs w:val="20"/>
                <w:u w:val="none"/>
              </w:rPr>
              <w:t xml:space="preserve"> </w:t>
            </w:r>
            <w:r>
              <w:rPr>
                <w:i/>
                <w:iCs/>
                <w:color w:val="00274C"/>
                <w:position w:val="-2"/>
                <w:sz w:val="20"/>
                <w:szCs w:val="20"/>
                <w:u w:val="none"/>
              </w:rPr>
              <w:t xml:space="preserve">Caractéristiques de la cartouche.</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Surface filtrante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Degré de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 maxi de service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 Bars</w:t>
                  </w:r>
                </w:p>
              </w:tc>
            </w:tr>
          </w:tbl>
          <w:p/>
        </w:tc>
        <w:tc>
          <w:tcPr>
            <w:tcW w:w="0" w:type="auto"/>
            <w:tcMar>
              <w:top w:w="150" w:type="dxa"/>
              <w:left w:w="150" w:type="dxa"/>
              <w:bottom w:w="150" w:type="dxa"/>
              <w:right w:w="150" w:type="dxa"/>
            </w:tcMar>
            <w:vAlign w:val="top"/>
          </w:tcPr>
          <w:p>
            <w:r>
              <w:rPr>
                <w:position w:val="-456"/>
              </w:rPr>
              <w:drawing>
                <wp:inline distT="0" distB="0" distL="0" distR="0">
                  <wp:extent cx="2102400" cy="2916000"/>
                  <wp:effectExtent b="0" l="0" r="0" t="0"/>
                  <wp:docPr id="87714591" name="name95266a9e744f03b0b" descr="Fig._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9.jpg"/>
                          <pic:cNvPicPr/>
                        </pic:nvPicPr>
                        <pic:blipFill>
                          <a:blip r:embed="rId77646a9e744f03b08" cstate="print"/>
                          <a:stretch>
                            <a:fillRect/>
                          </a:stretch>
                        </pic:blipFill>
                        <pic:spPr>
                          <a:xfrm>
                            <a:off x="0" y="0"/>
                            <a:ext cx="2102400" cy="2916000"/>
                          </a:xfrm>
                          <a:prstGeom prst="rect">
                            <a:avLst/>
                          </a:prstGeom>
                          <a:ln w="0">
                            <a:noFill/>
                          </a:ln>
                        </pic:spPr>
                      </pic:pic>
                    </a:graphicData>
                  </a:graphic>
                </wp:inline>
              </w:drawing>
            </w:r>
            <w:r>
              <w:rPr>
                <w:b/>
                <w:bCs/>
                <w:color w:val="00274C"/>
                <w:position w:val="0"/>
                <w:sz w:val="20"/>
                <w:szCs w:val="20"/>
                <w:u w:val="none"/>
              </w:rPr>
              <w:br/>
              <w:t xml:space="preserve">Fig 2.9</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2.9.6</w:t>
            </w:r>
            <w:r>
              <w:rPr>
                <w:color w:val="00274C"/>
                <w:position w:val="-2"/>
                <w:sz w:val="20"/>
                <w:szCs w:val="20"/>
                <w:u w:val="none"/>
              </w:rPr>
              <w:t xml:space="preserve"> </w:t>
            </w:r>
            <w:r>
              <w:rPr>
                <w:b/>
                <w:bCs/>
                <w:color w:val="00274C"/>
                <w:position w:val="-2"/>
                <w:sz w:val="20"/>
                <w:szCs w:val="20"/>
                <w:u w:val="none"/>
              </w:rPr>
              <w:t xml:space="preserve">Pompe électrique carburant (option)</w:t>
            </w:r>
            <w:r>
              <w:rPr>
                <w:color w:val="00274C"/>
                <w:position w:val="-2"/>
                <w:sz w:val="20"/>
                <w:szCs w:val="20"/>
                <w:u w:val="none"/>
              </w:rPr>
              <w:br/>
              <w:t xml:space="preserve">Lors de l'installation de la pompe carburant électrique dans un moteur diesel, il faut:</w:t>
            </w:r>
          </w:p>
          <w:p>
            <w:pPr>
              <w:numPr>
                <w:ilvl w:val="0"/>
                <w:numId w:val="16401"/>
              </w:numPr>
              <w:spacing w:before="0" w:after="0" w:line="262" w:lineRule="auto"/>
              <w:jc w:val="left"/>
              <w:rPr>
                <w:color w:val="00274C"/>
                <w:sz w:val="20"/>
                <w:szCs w:val="20"/>
              </w:rPr>
            </w:pPr>
            <w:r>
              <w:rPr>
                <w:color w:val="00274C"/>
                <w:position w:val="-2"/>
                <w:sz w:val="20"/>
                <w:szCs w:val="20"/>
                <w:u w:val="none"/>
              </w:rPr>
              <w:t xml:space="preserve">Retirer d'éventuels filtres montés à l'entrée de la pompe carburant électrique;</w:t>
            </w:r>
          </w:p>
          <w:p>
            <w:pPr>
              <w:numPr>
                <w:ilvl w:val="0"/>
                <w:numId w:val="16401"/>
              </w:numPr>
              <w:spacing w:before="0" w:after="0" w:line="262" w:lineRule="auto"/>
              <w:jc w:val="left"/>
              <w:rPr>
                <w:color w:val="00274C"/>
                <w:sz w:val="20"/>
                <w:szCs w:val="20"/>
              </w:rPr>
            </w:pPr>
            <w:r>
              <w:rPr>
                <w:color w:val="00274C"/>
                <w:position w:val="-2"/>
                <w:sz w:val="20"/>
                <w:szCs w:val="20"/>
                <w:u w:val="none"/>
              </w:rPr>
              <w:t xml:space="preserve">Insérer un préfiltre entre le réservoir et la pompe électrique;</w:t>
            </w:r>
          </w:p>
          <w:p>
            <w:pPr>
              <w:numPr>
                <w:ilvl w:val="0"/>
                <w:numId w:val="16401"/>
              </w:numPr>
              <w:spacing w:before="0" w:after="0" w:line="262" w:lineRule="auto"/>
              <w:jc w:val="left"/>
              <w:rPr>
                <w:color w:val="00274C"/>
                <w:sz w:val="20"/>
                <w:szCs w:val="20"/>
              </w:rPr>
            </w:pPr>
            <w:r>
              <w:rPr>
                <w:color w:val="00274C"/>
                <w:position w:val="-2"/>
                <w:sz w:val="20"/>
                <w:szCs w:val="20"/>
                <w:u w:val="none"/>
              </w:rPr>
              <w:t xml:space="preserve">La pompe électrique doit être montée sur l'application à une certaine hauteur du niveau minimum du réservoir afin de générer une chute de pression </w:t>
            </w:r>
            <w:r>
              <w:rPr>
                <w:b/>
                <w:bCs/>
                <w:color w:val="00274C"/>
                <w:position w:val="-2"/>
                <w:sz w:val="20"/>
                <w:szCs w:val="20"/>
                <w:u w:val="none"/>
              </w:rPr>
              <w:t xml:space="preserve">MAX</w:t>
            </w:r>
            <w:r>
              <w:rPr>
                <w:color w:val="00274C"/>
                <w:position w:val="-2"/>
                <w:sz w:val="20"/>
                <w:szCs w:val="20"/>
                <w:u w:val="none"/>
              </w:rPr>
              <w:t xml:space="preserve"> . égale à une colonne de 500 mm de carburant</w:t>
            </w:r>
          </w:p>
          <w:p>
            <w:pPr>
              <w:numPr>
                <w:ilvl w:val="0"/>
                <w:numId w:val="16401"/>
              </w:numPr>
              <w:spacing w:before="0" w:after="0" w:line="262" w:lineRule="auto"/>
              <w:jc w:val="left"/>
              <w:rPr>
                <w:color w:val="00274C"/>
                <w:sz w:val="20"/>
                <w:szCs w:val="20"/>
              </w:rPr>
            </w:pPr>
            <w:r>
              <w:rPr>
                <w:color w:val="00274C"/>
                <w:position w:val="-2"/>
                <w:sz w:val="20"/>
                <w:szCs w:val="20"/>
                <w:u w:val="none"/>
              </w:rPr>
              <w:t xml:space="preserve">Insérer un clapet anti-retour afin d'éviter le fonctionnement à sec dû à la vidange du conduit d'aspiration.</w:t>
            </w:r>
          </w:p>
          <w:p>
            <w:pPr>
              <w:numPr>
                <w:ilvl w:val="0"/>
                <w:numId w:val="16401"/>
              </w:numPr>
              <w:spacing w:before="0" w:after="0" w:line="262" w:lineRule="auto"/>
              <w:jc w:val="left"/>
              <w:rPr>
                <w:color w:val="00274C"/>
                <w:sz w:val="20"/>
                <w:szCs w:val="20"/>
              </w:rPr>
            </w:pPr>
            <w:r>
              <w:rPr>
                <w:color w:val="00274C"/>
                <w:position w:val="-2"/>
                <w:sz w:val="20"/>
                <w:szCs w:val="20"/>
                <w:u w:val="none"/>
              </w:rPr>
              <w:t xml:space="preserve">La pompe électrique doit garantir une pression d'alimentation à l'entrée positive dans toutes les conditions de fonctionnement.</w:t>
            </w:r>
          </w:p>
          <w:p>
            <w:pPr>
              <w:widowControl w:val="on"/>
              <w:pBdr/>
              <w:spacing w:before="0" w:after="0" w:line="240" w:lineRule="auto"/>
              <w:ind w:left="0" w:right="0"/>
              <w:jc w:val="left"/>
            </w:pPr>
            <w:r>
              <w:rPr>
                <w:b/>
                <w:bCs/>
                <w:color w:val="00274C"/>
                <w:position w:val="-2"/>
                <w:sz w:val="20"/>
                <w:szCs w:val="20"/>
                <w:u w:val="none"/>
              </w:rPr>
              <w:t xml:space="preserve">Tab 2.18</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Réservoir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arrivée du réservoir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Pré-filtre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du pré-filtre à la pompe électrique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électrique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refoulement au filtre à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du carburant</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14"/>
              </w:rPr>
              <w:drawing>
                <wp:inline distT="0" distB="0" distL="0" distR="0">
                  <wp:extent cx="2116800" cy="1404000"/>
                  <wp:effectExtent b="0" l="0" r="0" t="0"/>
                  <wp:docPr id="49698286" name="name73336a9e744f1478c" descr="Fig._2.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0.jpg"/>
                          <pic:cNvPicPr/>
                        </pic:nvPicPr>
                        <pic:blipFill>
                          <a:blip r:embed="rId88946a9e744f14789" cstate="print"/>
                          <a:stretch>
                            <a:fillRect/>
                          </a:stretch>
                        </pic:blipFill>
                        <pic:spPr>
                          <a:xfrm>
                            <a:off x="0" y="0"/>
                            <a:ext cx="2116800" cy="1404000"/>
                          </a:xfrm>
                          <a:prstGeom prst="rect">
                            <a:avLst/>
                          </a:prstGeom>
                          <a:ln w="0">
                            <a:noFill/>
                          </a:ln>
                        </pic:spPr>
                      </pic:pic>
                    </a:graphicData>
                  </a:graphic>
                </wp:inline>
              </w:drawing>
            </w:r>
            <w:r>
              <w:rPr>
                <w:b/>
                <w:bCs/>
                <w:color w:val="00274C"/>
                <w:position w:val="0"/>
                <w:sz w:val="20"/>
                <w:szCs w:val="20"/>
                <w:u w:val="none"/>
              </w:rPr>
              <w:br/>
              <w:t xml:space="preserve">Fig 2.10</w:t>
            </w:r>
          </w:p>
          <w:p>
            <w:pPr>
              <w:widowControl w:val="on"/>
              <w:pBdr/>
              <w:spacing w:before="0" w:after="0" w:line="262" w:lineRule="auto"/>
              <w:ind w:left="0" w:right="0"/>
              <w:jc w:val="left"/>
              <w:textAlignment w:val="top"/>
            </w:pPr>
            <w:r>
              <w:rPr>
                <w:color w:val="00274C"/>
                <w:position w:val="0"/>
                <w:sz w:val="20"/>
                <w:szCs w:val="20"/>
                <w:u w:val="none"/>
              </w:rPr>
              <w:t xml:space="preserve"> </w:t>
            </w:r>
          </w:p>
          <w:p>
            <w:pPr>
              <w:widowControl w:val="on"/>
              <w:pBdr/>
              <w:spacing w:before="0" w:after="0" w:line="240" w:lineRule="auto"/>
              <w:ind w:left="0" w:right="0"/>
              <w:jc w:val="left"/>
            </w:pPr>
            <w:r>
              <w:rPr>
                <w:color w:val="00274C"/>
                <w:position w:val="0"/>
                <w:sz w:val="20"/>
                <w:szCs w:val="20"/>
                <w:u w:val="none"/>
              </w:rPr>
              <w:t xml:space="preserve">
 </w:t>
            </w:r>
          </w:p>
          <w:p/>
          <w:p/>
          <w:p/>
          <w:p/>
          <w:p/>
          <w:p/>
          <w:p/>
          <w:p/>
          <w:p/>
          <w:p/>
          <w:p/>
          <w:p/>
          <w:p/>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2.9.7</w:t>
            </w:r>
            <w:r>
              <w:rPr>
                <w:color w:val="00274C"/>
                <w:position w:val="-2"/>
                <w:sz w:val="20"/>
                <w:szCs w:val="20"/>
                <w:u w:val="none"/>
              </w:rPr>
              <w:t xml:space="preserve"> </w:t>
            </w:r>
            <w:r>
              <w:rPr>
                <w:b/>
                <w:bCs/>
                <w:color w:val="00274C"/>
                <w:position w:val="-2"/>
                <w:sz w:val="20"/>
                <w:szCs w:val="20"/>
                <w:u w:val="none"/>
              </w:rPr>
              <w:t xml:space="preserve">Protections des composants du circuit d'injection du carburant</w:t>
            </w:r>
            <w:r>
              <w:rPr>
                <w:color w:val="00274C"/>
                <w:position w:val="-2"/>
                <w:sz w:val="20"/>
                <w:szCs w:val="20"/>
                <w:u w:val="none"/>
              </w:rPr>
              <w:t xml:space="preserve"> Les composants du circuit d'injection à haute pression sont particulièrement sensibles aux impuretés.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Pour éviter que des impuretés, même microscopiques, ne puissent accéder aux raccords d'entrée ou de sortie du carburant, il est nécessaire de fermer ces accès avec les bouchons prévus à cet effet dès que les divers tuyaux sont démontés et déconnectés.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démontage de tout composant du circuit d'injection ne doit pas être effectué dans des environnements poussiéreux.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Les bouchons de protection doivent être conservés dans leur boîte ( </w:t>
            </w:r>
            <w:hyperlink r:id="rId20246a9e744f16021" w:history="1">
              <w:r>
                <w:rPr>
                  <w:rStyle w:val="DefaultParagraphFontPHPDOCX"/>
                  <w:b/>
                  <w:bCs/>
                  <w:color w:val="0000FF"/>
                  <w:position w:val="-2"/>
                  <w:sz w:val="20"/>
                  <w:szCs w:val="20"/>
                  <w:u w:val="none"/>
                </w:rPr>
                <w:t xml:space="preserve">ST_40</w:t>
              </w:r>
            </w:hyperlink>
            <w:r>
              <w:rPr>
                <w:color w:val="00274C"/>
                <w:position w:val="-2"/>
                <w:sz w:val="20"/>
                <w:szCs w:val="20"/>
                <w:u w:val="none"/>
              </w:rPr>
              <w:t xml:space="preserve"> ) jusqu'au moment de leur utilisation.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Faire particulièrement attention au moment de l'utilisation des bouchons et éviter toute contamination par la poussière ou la saleté de quelque nature que ce soit.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Même après l'utilisation des bouchons illustrés dans ce paragraphe, tous les composants du circuit d'injection doivent être rangés avec soin dans un lieu ne présentant pas d'impuretés.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Les </w:t>
            </w:r>
            <w:r>
              <w:rPr>
                <w:b/>
                <w:bCs/>
                <w:color w:val="00274C"/>
                <w:position w:val="-2"/>
                <w:sz w:val="20"/>
                <w:szCs w:val="20"/>
                <w:u w:val="none"/>
              </w:rPr>
              <w:t xml:space="preserve">Fig. 2.11 et 2.12</w:t>
            </w:r>
            <w:r>
              <w:rPr>
                <w:color w:val="00274C"/>
                <w:position w:val="-2"/>
                <w:sz w:val="20"/>
                <w:szCs w:val="20"/>
                <w:u w:val="none"/>
              </w:rPr>
              <w:t xml:space="preserve"> représentent les bouchons qui doivent être utilisés sur les composants du circuit d'injection.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Les bouchons de protection doivent être lavés soigneusement après chaque utilisation et remis dans leur boîte </w:t>
            </w:r>
            <w:hyperlink r:id="rId81446a9e744f16fed" w:history="1">
              <w:r>
                <w:rPr>
                  <w:rStyle w:val="DefaultParagraphFontPHPDOCX"/>
                  <w:b/>
                  <w:bCs/>
                  <w:color w:val="0000FF"/>
                  <w:position w:val="-2"/>
                  <w:sz w:val="20"/>
                  <w:szCs w:val="20"/>
                  <w:u w:val="none"/>
                </w:rPr>
                <w:t xml:space="preserve">ST_40</w:t>
              </w:r>
            </w:hyperlink>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2072025" name="name43676a9e744f1d87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4976a9e744f1d87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Il est vivement conseillé de tenir cette page sous ses yeux lors des opérations de démontage des composants du circuit d'injection du carburant.</w:t>
            </w:r>
          </w:p>
        </w:tc>
        <w:tc>
          <w:tcPr>
            <w:tcW w:w="0" w:type="auto"/>
            <w:tcMar>
              <w:top w:w="150" w:type="dxa"/>
              <w:left w:w="150" w:type="dxa"/>
              <w:bottom w:w="150" w:type="dxa"/>
              <w:right w:w="150" w:type="dxa"/>
            </w:tcMar>
            <w:vAlign w:val="top"/>
          </w:tcPr>
          <w:p>
            <w:r>
              <w:rPr>
                <w:position w:val="-234"/>
              </w:rPr>
              <w:drawing>
                <wp:inline distT="0" distB="0" distL="0" distR="0">
                  <wp:extent cx="2289600" cy="1533600"/>
                  <wp:effectExtent b="0" l="0" r="0" t="0"/>
                  <wp:docPr id="62830209" name="name80356a9e744f24b7b" descr="Fig._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1.jpg"/>
                          <pic:cNvPicPr/>
                        </pic:nvPicPr>
                        <pic:blipFill>
                          <a:blip r:embed="rId45806a9e744f24b79" cstate="print"/>
                          <a:stretch>
                            <a:fillRect/>
                          </a:stretch>
                        </pic:blipFill>
                        <pic:spPr>
                          <a:xfrm>
                            <a:off x="0" y="0"/>
                            <a:ext cx="2289600" cy="1533600"/>
                          </a:xfrm>
                          <a:prstGeom prst="rect">
                            <a:avLst/>
                          </a:prstGeom>
                          <a:ln w="0">
                            <a:noFill/>
                          </a:ln>
                        </pic:spPr>
                      </pic:pic>
                    </a:graphicData>
                  </a:graphic>
                </wp:inline>
              </w:drawing>
            </w:r>
            <w:r>
              <w:rPr>
                <w:b/>
                <w:bCs/>
                <w:color w:val="00274C"/>
                <w:position w:val="0"/>
                <w:sz w:val="20"/>
                <w:szCs w:val="20"/>
                <w:u w:val="none"/>
              </w:rPr>
              <w:br/>
              <w:t xml:space="preserve">Fig 2.11</w:t>
            </w:r>
            <w:r>
              <w:rPr>
                <w:position w:val="-240"/>
              </w:rPr>
              <w:drawing>
                <wp:inline distT="0" distB="0" distL="0" distR="0">
                  <wp:extent cx="2332800" cy="1569600"/>
                  <wp:effectExtent b="0" l="0" r="0" t="0"/>
                  <wp:docPr id="65677269" name="name22796a9e744f2dcba" descr="Fig._2.12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2_M.jpg"/>
                          <pic:cNvPicPr/>
                        </pic:nvPicPr>
                        <pic:blipFill>
                          <a:blip r:embed="rId30376a9e744f2dcb7" cstate="print"/>
                          <a:stretch>
                            <a:fillRect/>
                          </a:stretch>
                        </pic:blipFill>
                        <pic:spPr>
                          <a:xfrm>
                            <a:off x="0" y="0"/>
                            <a:ext cx="2332800" cy="1569600"/>
                          </a:xfrm>
                          <a:prstGeom prst="rect">
                            <a:avLst/>
                          </a:prstGeom>
                          <a:ln w="0">
                            <a:noFill/>
                          </a:ln>
                        </pic:spPr>
                      </pic:pic>
                    </a:graphicData>
                  </a:graphic>
                </wp:inline>
              </w:drawing>
            </w:r>
            <w:r>
              <w:rPr>
                <w:b/>
                <w:bCs/>
                <w:color w:val="00274C"/>
                <w:position w:val="0"/>
                <w:sz w:val="20"/>
                <w:szCs w:val="20"/>
                <w:u w:val="none"/>
              </w:rPr>
              <w:br/>
              <w:br/>
              <w:br/>
              <w:t xml:space="preserve">Fig 2.12</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Circuit de lubrification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2.10.1 Schéma du circuit de lubrification</w:t>
            </w:r>
            <w:r>
              <w:rPr>
                <w:color w:val="00274C"/>
                <w:position w:val="-2"/>
                <w:sz w:val="20"/>
                <w:szCs w:val="20"/>
                <w:u w:val="none"/>
              </w:rPr>
              <w:t xml:space="preserve"> La pompe à huile est actionnée par le vilebrequin du côté de la distribution.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Dans les passages de couleur verte, l'huile est en admission, dans ceux de couleur rouge, l'huile est sous pression et dans ceux de couleur jaune, l'huile est de retour vers le carter de l'huile 2 (pas sous pression).
</w:t>
            </w:r>
          </w:p>
          <w:p>
            <w:pPr>
              <w:widowControl w:val="on"/>
              <w:pBdr/>
              <w:spacing w:before="0" w:after="0" w:line="262" w:lineRule="auto"/>
              <w:ind w:left="0" w:right="0"/>
              <w:jc w:val="left"/>
              <w:textAlignment w:val="center"/>
            </w:pPr>
            <w:r>
              <w:rPr>
                <w:b/>
                <w:bCs/>
                <w:color w:val="00274C"/>
                <w:position w:val="-2"/>
                <w:sz w:val="20"/>
                <w:szCs w:val="20"/>
                <w:u w:val="none"/>
              </w:rPr>
              <w:br/>
              <w:t xml:space="preserve">Tab 2.19</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COULEUR</w:t>
                  </w:r>
                </w:p>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en admission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sous 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de retour au carter d'huile</w:t>
                  </w:r>
                </w:p>
              </w:tc>
            </w:tr>
          </w:tbl>
          <w:p/>
          <w:p/>
          <w:p/>
          <w:p>
            <w:pPr>
              <w:widowControl w:val="on"/>
              <w:pBdr/>
              <w:spacing w:before="0" w:after="0" w:line="240" w:lineRule="auto"/>
              <w:ind w:left="0" w:right="0"/>
              <w:jc w:val="left"/>
            </w:pPr>
            <w:r>
              <w:rPr>
                <w:b/>
                <w:bCs/>
                <w:color w:val="00274C"/>
                <w:position w:val="-2"/>
                <w:sz w:val="20"/>
                <w:szCs w:val="20"/>
                <w:u w:val="none"/>
              </w:rPr>
              <w:t xml:space="preserve">Tab 2.20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Rotors pompe à 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 d’huile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Vilebrequin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Arbre à cames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Turbocompresseur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Axe culbuteurs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Poussoirs hydrauliques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Couvercles culbuteurs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Culasse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 supérieur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 inférieur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Logement de l'engrenage 3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/4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PTO</w:t>
                  </w:r>
                </w:p>
              </w:tc>
            </w:tr>
          </w:tbl>
          <w:p/>
        </w:tc>
        <w:tc>
          <w:tcPr>
            <w:tcW w:w="0" w:type="auto"/>
            <w:tcMar>
              <w:top w:w="150" w:type="dxa"/>
              <w:left w:w="150" w:type="dxa"/>
              <w:bottom w:w="150" w:type="dxa"/>
              <w:right w:w="150" w:type="dxa"/>
            </w:tcMar>
            <w:vAlign w:val="top"/>
          </w:tcPr>
          <w:p>
            <w:r>
              <w:rPr>
                <w:position w:val="-360"/>
              </w:rPr>
              <w:drawing>
                <wp:inline distT="0" distB="0" distL="0" distR="0">
                  <wp:extent cx="2239200" cy="2311200"/>
                  <wp:effectExtent b="0" l="0" r="0" t="0"/>
                  <wp:docPr id="35169497" name="name79856a9e744f3cd51" descr="imm2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6.jpg"/>
                          <pic:cNvPicPr/>
                        </pic:nvPicPr>
                        <pic:blipFill>
                          <a:blip r:embed="rId70276a9e744f3cd4e" cstate="print"/>
                          <a:stretch>
                            <a:fillRect/>
                          </a:stretch>
                        </pic:blipFill>
                        <pic:spPr>
                          <a:xfrm>
                            <a:off x="0" y="0"/>
                            <a:ext cx="2239200" cy="2311200"/>
                          </a:xfrm>
                          <a:prstGeom prst="rect">
                            <a:avLst/>
                          </a:prstGeom>
                          <a:ln w="0">
                            <a:noFill/>
                          </a:ln>
                        </pic:spPr>
                      </pic:pic>
                    </a:graphicData>
                  </a:graphic>
                </wp:inline>
              </w:drawing>
            </w:r>
            <w:r>
              <w:rPr>
                <w:b/>
                <w:bCs/>
                <w:color w:val="00274C"/>
                <w:position w:val="0"/>
                <w:sz w:val="20"/>
                <w:szCs w:val="20"/>
                <w:u w:val="none"/>
              </w:rPr>
              <w:br/>
              <w:t xml:space="preserve">Fig 2.13</w:t>
            </w:r>
            <w:r>
              <w:rPr>
                <w:position w:val="-352"/>
              </w:rPr>
              <w:drawing>
                <wp:inline distT="0" distB="0" distL="0" distR="0">
                  <wp:extent cx="2109600" cy="2260800"/>
                  <wp:effectExtent b="0" l="0" r="0" t="0"/>
                  <wp:docPr id="41243725" name="name39216a9e744f47fd2" descr="imm2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7.jpg"/>
                          <pic:cNvPicPr/>
                        </pic:nvPicPr>
                        <pic:blipFill>
                          <a:blip r:embed="rId94316a9e744f47fcf" cstate="print"/>
                          <a:stretch>
                            <a:fillRect/>
                          </a:stretch>
                        </pic:blipFill>
                        <pic:spPr>
                          <a:xfrm>
                            <a:off x="0" y="0"/>
                            <a:ext cx="2109600" cy="2260800"/>
                          </a:xfrm>
                          <a:prstGeom prst="rect">
                            <a:avLst/>
                          </a:prstGeom>
                          <a:ln w="0">
                            <a:noFill/>
                          </a:ln>
                        </pic:spPr>
                      </pic:pic>
                    </a:graphicData>
                  </a:graphic>
                </wp:inline>
              </w:drawing>
            </w:r>
            <w:r>
              <w:rPr>
                <w:b/>
                <w:bCs/>
                <w:color w:val="00274C"/>
                <w:position w:val="0"/>
                <w:sz w:val="20"/>
                <w:szCs w:val="20"/>
                <w:u w:val="none"/>
              </w:rPr>
              <w:br/>
              <w:br/>
              <w:br/>
              <w:t xml:space="preserve">Fig 2.14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REMARQUE:</w:t>
            </w:r>
            <w:r>
              <w:rPr>
                <w:color w:val="00274C"/>
                <w:position w:val="-2"/>
                <w:sz w:val="20"/>
                <w:szCs w:val="20"/>
                <w:u w:val="none"/>
              </w:rPr>
              <w:t xml:space="preserve"> Cliquer pour reproduire la procédure.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48686a9e744f48708" w:history="1">
              <w:r>
                <w:rPr>
                  <w:rStyle w:val="DefaultParagraphFontPHPDOCX"/>
                  <w:color w:val="0000FF"/>
                  <w:position w:val="0"/>
                  <w:sz w:val="20"/>
                  <w:szCs w:val="20"/>
                  <w:u w:val="single" w:color=""/>
                </w:rPr>
                <w:t xml:space="preserve">https://www.youtube.com/embed/Ig3XosQ8h0s?rel=0</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2.10.2 Pompe à huile</w:t>
            </w:r>
            <w:r>
              <w:rPr>
                <w:color w:val="00274C"/>
                <w:position w:val="-2"/>
                <w:sz w:val="20"/>
                <w:szCs w:val="20"/>
                <w:u w:val="none"/>
              </w:rPr>
              <w:t xml:space="preserve"> Les rotors de la pompe à huile sont de type trochoïde (à lobes) et sont actionnés par le vilebrequin à travers une clavette.</w:t>
            </w:r>
            <w:r>
              <w:rPr>
                <w:color w:val="00274C"/>
                <w:position w:val="-2"/>
                <w:sz w:val="20"/>
                <w:szCs w:val="20"/>
                <w:u w:val="none"/>
              </w:rPr>
              <w:br/>
              <w:br/>
              <w:t xml:space="preserve">Le corps de la pompe est situé à l’intérieur du carter de distribution.</w:t>
            </w:r>
            <w:r>
              <w:rPr>
                <w:color w:val="00274C"/>
                <w:position w:val="-2"/>
                <w:sz w:val="20"/>
                <w:szCs w:val="20"/>
                <w:u w:val="none"/>
              </w:rPr>
              <w:br/>
              <w:br/>
              <w:t xml:space="preserve">Il est obligatoire de monter les rotors de manière à ce que les répères </w:t>
            </w:r>
            <w:r>
              <w:rPr>
                <w:b/>
                <w:bCs/>
                <w:color w:val="00274C"/>
                <w:position w:val="-2"/>
                <w:sz w:val="20"/>
                <w:szCs w:val="20"/>
                <w:u w:val="none"/>
              </w:rPr>
              <w:t xml:space="preserve">A</w:t>
            </w:r>
            <w:r>
              <w:rPr>
                <w:color w:val="00274C"/>
                <w:position w:val="-2"/>
                <w:sz w:val="20"/>
                <w:szCs w:val="20"/>
                <w:u w:val="none"/>
              </w:rPr>
              <w:t xml:space="preserve"> soient visibles par l’opérateur.</w:t>
            </w:r>
            <w:r>
              <w:rPr>
                <w:b/>
                <w:bCs/>
                <w:color w:val="00274C"/>
                <w:position w:val="-2"/>
                <w:sz w:val="20"/>
                <w:szCs w:val="20"/>
                <w:u w:val="none"/>
              </w:rPr>
              <w:br/>
              <w:br/>
              <w:br/>
              <w:br/>
              <w:t xml:space="preserve">Tab 2.21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Rotor interne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Rotor externe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 de la pompe à 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Clavette de commande de la pompe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 de distribution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Vilebrequin</w:t>
                  </w:r>
                </w:p>
              </w:tc>
            </w:tr>
          </w:tbl>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2.10.3 Filtre à huile et Radiateur de Oli Cooler</w:t>
            </w:r>
          </w:p>
          <w:p>
            <w:pPr>
              <w:widowControl w:val="on"/>
              <w:pBdr/>
              <w:spacing w:before="0" w:after="0" w:line="262" w:lineRule="auto"/>
              <w:ind w:left="0" w:right="0"/>
              <w:jc w:val="left"/>
              <w:textAlignment w:val="center"/>
            </w:pPr>
            <w:r>
              <w:rPr>
                <w:position w:val="-189"/>
              </w:rPr>
              <w:drawing>
                <wp:inline distT="0" distB="0" distL="0" distR="0">
                  <wp:extent cx="3636000" cy="2426400"/>
                  <wp:effectExtent b="0" l="0" r="0" t="0"/>
                  <wp:docPr id="30122728" name="name55346a9e744f56ea5" descr="imm2_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9.jpg"/>
                          <pic:cNvPicPr/>
                        </pic:nvPicPr>
                        <pic:blipFill>
                          <a:blip r:embed="rId19046a9e744f56ea2" cstate="print"/>
                          <a:stretch>
                            <a:fillRect/>
                          </a:stretch>
                        </pic:blipFill>
                        <pic:spPr>
                          <a:xfrm>
                            <a:off x="0" y="0"/>
                            <a:ext cx="3636000" cy="2426400"/>
                          </a:xfrm>
                          <a:prstGeom prst="rect">
                            <a:avLst/>
                          </a:prstGeom>
                          <a:ln w="0">
                            <a:noFill/>
                          </a:ln>
                        </pic:spPr>
                      </pic:pic>
                    </a:graphicData>
                  </a:graphic>
                </wp:inline>
              </w:drawing>
            </w:r>
            <w:r>
              <w:rPr>
                <w:b/>
                <w:bCs/>
                <w:color w:val="00274C"/>
                <w:position w:val="-2"/>
                <w:sz w:val="20"/>
                <w:szCs w:val="20"/>
                <w:u w:val="none"/>
              </w:rPr>
              <w:br/>
              <w:t xml:space="preserve">Fig 2.15</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REMARQUE:</w:t>
            </w:r>
            <w:r>
              <w:rPr>
                <w:color w:val="00274C"/>
                <w:position w:val="-2"/>
                <w:sz w:val="20"/>
                <w:szCs w:val="20"/>
                <w:u w:val="none"/>
              </w:rPr>
              <w:t xml:space="preserve"> en dévissant le couvercle porte-cartouche, l'huile contenue dans le support </w:t>
            </w:r>
            <w:r>
              <w:rPr>
                <w:b/>
                <w:bCs/>
                <w:color w:val="00274C"/>
                <w:position w:val="-2"/>
                <w:sz w:val="20"/>
                <w:szCs w:val="20"/>
                <w:u w:val="none"/>
              </w:rPr>
              <w:t xml:space="preserve">7</w:t>
            </w:r>
            <w:r>
              <w:rPr>
                <w:color w:val="00274C"/>
                <w:position w:val="-2"/>
                <w:sz w:val="20"/>
                <w:szCs w:val="20"/>
                <w:u w:val="none"/>
              </w:rPr>
              <w:t xml:space="preserve"> s'écoule vers le carter de l'huile à travers le conduit de décharge </w:t>
            </w:r>
            <w:r>
              <w:rPr>
                <w:b/>
                <w:bCs/>
                <w:color w:val="00274C"/>
                <w:position w:val="-2"/>
                <w:sz w:val="20"/>
                <w:szCs w:val="20"/>
                <w:u w:val="none"/>
              </w:rPr>
              <w:t xml:space="preserve">4</w:t>
            </w:r>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w:t>
            </w:r>
            <w:r>
              <w:rPr>
                <w:color w:val="00274C"/>
                <w:position w:val="-2"/>
                <w:sz w:val="20"/>
                <w:szCs w:val="20"/>
                <w:u w:val="none"/>
              </w:rPr>
              <w:t xml:space="preserve"> </w:t>
            </w:r>
            <w:r>
              <w:rPr>
                <w:b/>
                <w:bCs/>
                <w:color w:val="00274C"/>
                <w:position w:val="-2"/>
                <w:sz w:val="20"/>
                <w:szCs w:val="20"/>
                <w:u w:val="none"/>
              </w:rPr>
              <w:t xml:space="preserve">22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en arrivée de la pompe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en refroidissement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en filtrage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Conduit de vidange de l'huile (retour dans le carter de l'huile)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de retour dans le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 sortie du filtre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Support filtre à 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Couvercle porte-cartouche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Cartouche filtre à 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Radiateur de l'huile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allant vers la cartouche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Liquide de refroidissement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Joint de fermeture du conduit de décharge de l'huile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Joint de fermeture de la chambre de filtrage de l'huile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Joint du couvercle porte-cartouche</w:t>
                  </w:r>
                </w:p>
              </w:tc>
            </w:tr>
          </w:tbl>
          <w:p/>
          <w:p/>
          <w:p/>
          <w:p>
            <w:pPr>
              <w:widowControl w:val="on"/>
              <w:pBdr/>
              <w:spacing w:before="0" w:after="0" w:line="240" w:lineRule="auto"/>
              <w:ind w:left="0" w:right="0"/>
              <w:jc w:val="left"/>
            </w:pPr>
            <w:r>
              <w:rPr>
                <w:b/>
                <w:bCs/>
                <w:color w:val="00274C"/>
                <w:position w:val="-2"/>
                <w:sz w:val="20"/>
                <w:szCs w:val="20"/>
                <w:u w:val="none"/>
              </w:rPr>
              <w:t xml:space="preserve">Tab 2.23</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VALEUR</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Surface filtrante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Degré de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 maxi de service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Bars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Débit maxi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 litres/h</w:t>
                  </w:r>
                </w:p>
              </w:tc>
            </w:tr>
          </w:tbl>
          <w:p/>
        </w:tc>
        <w:tc>
          <w:tcPr>
            <w:tcW w:w="0" w:type="auto"/>
            <w:tcMar>
              <w:top w:w="150" w:type="dxa"/>
              <w:left w:w="150" w:type="dxa"/>
              <w:bottom w:w="150" w:type="dxa"/>
              <w:right w:w="150" w:type="dxa"/>
            </w:tcMar>
            <w:vAlign w:val="top"/>
          </w:tcPr>
          <w:p>
            <w:r>
              <w:rPr>
                <w:position w:val="-490"/>
              </w:rPr>
              <w:drawing>
                <wp:inline distT="0" distB="0" distL="0" distR="0">
                  <wp:extent cx="2232000" cy="3117600"/>
                  <wp:effectExtent b="0" l="0" r="0" t="0"/>
                  <wp:docPr id="11286555" name="name47356a9e744f68e10" descr="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9.jpg"/>
                          <pic:cNvPicPr/>
                        </pic:nvPicPr>
                        <pic:blipFill>
                          <a:blip r:embed="rId13956a9e744f68e0d" cstate="print"/>
                          <a:stretch>
                            <a:fillRect/>
                          </a:stretch>
                        </pic:blipFill>
                        <pic:spPr>
                          <a:xfrm>
                            <a:off x="0" y="0"/>
                            <a:ext cx="2232000" cy="3117600"/>
                          </a:xfrm>
                          <a:prstGeom prst="rect">
                            <a:avLst/>
                          </a:prstGeom>
                          <a:ln w="0">
                            <a:noFill/>
                          </a:ln>
                        </pic:spPr>
                      </pic:pic>
                    </a:graphicData>
                  </a:graphic>
                </wp:inline>
              </w:drawing>
            </w:r>
            <w:r>
              <w:rPr>
                <w:b/>
                <w:bCs/>
                <w:color w:val="00274C"/>
                <w:position w:val="0"/>
                <w:sz w:val="20"/>
                <w:szCs w:val="20"/>
                <w:u w:val="none"/>
              </w:rPr>
              <w:br/>
              <w:t xml:space="preserve">Fig 2.16</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Circuit réfrigérant</w:t>
      </w:r>
    </w:p>
    <w:p>
      <w:pPr>
        <w:widowControl w:val="on"/>
        <w:pBdr/>
        <w:spacing w:before="0" w:after="0" w:line="262" w:lineRule="auto"/>
        <w:ind w:left="0" w:right="0"/>
        <w:jc w:val="left"/>
      </w:pPr>
      <w:r>
        <w:rPr>
          <w:b/>
          <w:bCs/>
          <w:color w:val="00274C"/>
          <w:sz w:val="20"/>
          <w:szCs w:val="20"/>
          <w:u w:val="none"/>
        </w:rPr>
        <w:t xml:space="preserve">2.11.1 Schéma du circuit réfrigérant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2.24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left"/>
                    <w:textAlignment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Réfrigérant en admission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Refroidissement des cylindres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Refroidissement de la culasse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Réfrigérant en retour au radiateur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Réfrigérant en refroidissement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Ligne d'aération du radiateur (au 8)</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Cuve de compensation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Soupape thermostatique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Ligne de retour en aspiration</w:t>
                  </w:r>
                </w:p>
              </w:tc>
            </w:tr>
          </w:tbl>
          <w:p/>
        </w:tc>
        <w:tc>
          <w:tcPr>
            <w:tcW w:w="0" w:type="auto"/>
            <w:tcMar>
              <w:top w:w="150" w:type="dxa"/>
              <w:left w:w="150" w:type="dxa"/>
              <w:bottom w:w="150" w:type="dxa"/>
              <w:right w:w="150" w:type="dxa"/>
            </w:tcMar>
            <w:vAlign w:val="top"/>
          </w:tcPr>
          <w:p>
            <w:r>
              <w:rPr>
                <w:position w:val="-388"/>
              </w:rPr>
              <w:drawing>
                <wp:inline distT="0" distB="0" distL="0" distR="0">
                  <wp:extent cx="2354400" cy="2484000"/>
                  <wp:effectExtent b="0" l="0" r="0" t="0"/>
                  <wp:docPr id="61729395" name="name26686a9e744f7abee" descr="Fig._2.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7.jpg"/>
                          <pic:cNvPicPr/>
                        </pic:nvPicPr>
                        <pic:blipFill>
                          <a:blip r:embed="rId60356a9e744f7abea" cstate="print"/>
                          <a:stretch>
                            <a:fillRect/>
                          </a:stretch>
                        </pic:blipFill>
                        <pic:spPr>
                          <a:xfrm>
                            <a:off x="0" y="0"/>
                            <a:ext cx="2354400" cy="2484000"/>
                          </a:xfrm>
                          <a:prstGeom prst="rect">
                            <a:avLst/>
                          </a:prstGeom>
                          <a:ln w="0">
                            <a:noFill/>
                          </a:ln>
                        </pic:spPr>
                      </pic:pic>
                    </a:graphicData>
                  </a:graphic>
                </wp:inline>
              </w:drawing>
            </w:r>
            <w:r>
              <w:rPr>
                <w:b/>
                <w:bCs/>
                <w:color w:val="00274C"/>
                <w:position w:val="0"/>
                <w:sz w:val="20"/>
                <w:szCs w:val="20"/>
                <w:u w:val="none"/>
              </w:rPr>
              <w:br/>
              <w:t xml:space="preserve">Fig 2.18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2.11.2 Pompe réfrigérant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left"/>
                    <w:textAlignment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Poulie commande de la pompe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 d'admission de réfrigérant</w:t>
                  </w:r>
                </w:p>
              </w:tc>
            </w:tr>
          </w:tbl>
          <w:p/>
          <w:p/>
          <w:p/>
          <w:p/>
          <w:p/>
        </w:tc>
        <w:tc>
          <w:tcPr>
            <w:tcW w:w="0" w:type="auto"/>
            <w:tcMar>
              <w:top w:w="150" w:type="dxa"/>
              <w:left w:w="150" w:type="dxa"/>
              <w:bottom w:w="150" w:type="dxa"/>
              <w:right w:w="150" w:type="dxa"/>
            </w:tcMar>
            <w:vAlign w:val="top"/>
          </w:tcPr>
          <w:p>
            <w:r>
              <w:rPr>
                <w:position w:val="-264"/>
              </w:rPr>
              <w:drawing>
                <wp:inline distT="0" distB="0" distL="0" distR="0">
                  <wp:extent cx="2541600" cy="1713600"/>
                  <wp:effectExtent b="0" l="0" r="0" t="0"/>
                  <wp:docPr id="76654689" name="name70326a9e744f8934c" descr="Fig._2.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8.jpg"/>
                          <pic:cNvPicPr/>
                        </pic:nvPicPr>
                        <pic:blipFill>
                          <a:blip r:embed="rId67926a9e744f89348" cstate="print"/>
                          <a:stretch>
                            <a:fillRect/>
                          </a:stretch>
                        </pic:blipFill>
                        <pic:spPr>
                          <a:xfrm>
                            <a:off x="0" y="0"/>
                            <a:ext cx="2541600" cy="1713600"/>
                          </a:xfrm>
                          <a:prstGeom prst="rect">
                            <a:avLst/>
                          </a:prstGeom>
                          <a:ln w="0">
                            <a:noFill/>
                          </a:ln>
                        </pic:spPr>
                      </pic:pic>
                    </a:graphicData>
                  </a:graphic>
                </wp:inline>
              </w:drawing>
            </w:r>
            <w:r>
              <w:rPr>
                <w:b/>
                <w:bCs/>
                <w:color w:val="00274C"/>
                <w:position w:val="0"/>
                <w:sz w:val="20"/>
                <w:szCs w:val="20"/>
                <w:u w:val="none"/>
              </w:rPr>
              <w:br/>
              <w:t xml:space="preserve">Fig 2.19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2.11.3 Soupape thermostatique</w:t>
            </w:r>
          </w:p>
          <w:p>
            <w:pPr>
              <w:widowControl w:val="on"/>
              <w:pBdr/>
              <w:spacing w:before="0" w:after="0" w:line="262" w:lineRule="auto"/>
              <w:ind w:left="0" w:right="0"/>
              <w:jc w:val="left"/>
              <w:textAlignment w:val="center"/>
            </w:pPr>
            <w:r>
              <w:rPr>
                <w:b/>
                <w:bCs/>
                <w:color w:val="00274C"/>
                <w:position w:val="-2"/>
                <w:sz w:val="20"/>
                <w:szCs w:val="20"/>
                <w:u w:val="none"/>
              </w:rPr>
              <w:br/>
              <w:t xml:space="preserve">Tab 2.26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left"/>
                    <w:textAlignment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Culasse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Couvercle de sortie de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Soupape thermostatique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Joint d'étanchéité</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Trou d'aération</w:t>
                  </w:r>
                </w:p>
              </w:tc>
            </w:tr>
          </w:tbl>
          <w:p/>
          <w:p/>
          <w:p/>
          <w:p>
            <w:pPr>
              <w:widowControl w:val="on"/>
              <w:pBdr/>
              <w:spacing w:before="0" w:after="0" w:line="262" w:lineRule="auto"/>
              <w:ind w:left="0" w:right="0"/>
              <w:jc w:val="left"/>
              <w:textAlignment w:val="center"/>
            </w:pPr>
            <w:r>
              <w:rPr>
                <w:color w:val="00274C"/>
                <w:position w:val="-2"/>
                <w:sz w:val="20"/>
                <w:szCs w:val="20"/>
                <w:u w:val="none"/>
              </w:rPr>
              <w:t xml:space="preserve">Température de début d'ouverture 79°C ± 2°C.</w:t>
            </w:r>
          </w:p>
        </w:tc>
        <w:tc>
          <w:tcPr>
            <w:tcW w:w="0" w:type="auto"/>
            <w:tcMar>
              <w:top w:w="150" w:type="dxa"/>
              <w:left w:w="150" w:type="dxa"/>
              <w:bottom w:w="150" w:type="dxa"/>
              <w:right w:w="150" w:type="dxa"/>
            </w:tcMar>
            <w:vAlign w:val="top"/>
          </w:tcPr>
          <w:p>
            <w:r>
              <w:rPr>
                <w:position w:val="-264"/>
              </w:rPr>
              <w:drawing>
                <wp:inline distT="0" distB="0" distL="0" distR="0">
                  <wp:extent cx="2606400" cy="1713600"/>
                  <wp:effectExtent b="0" l="0" r="0" t="0"/>
                  <wp:docPr id="54629024" name="name96346a9e744f990c9" descr="Fig._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9.jpg"/>
                          <pic:cNvPicPr/>
                        </pic:nvPicPr>
                        <pic:blipFill>
                          <a:blip r:embed="rId73916a9e744f990c5" cstate="print"/>
                          <a:stretch>
                            <a:fillRect/>
                          </a:stretch>
                        </pic:blipFill>
                        <pic:spPr>
                          <a:xfrm>
                            <a:off x="0" y="0"/>
                            <a:ext cx="2606400" cy="1713600"/>
                          </a:xfrm>
                          <a:prstGeom prst="rect">
                            <a:avLst/>
                          </a:prstGeom>
                          <a:ln w="0">
                            <a:noFill/>
                          </a:ln>
                        </pic:spPr>
                      </pic:pic>
                    </a:graphicData>
                  </a:graphic>
                </wp:inline>
              </w:drawing>
            </w:r>
            <w:r>
              <w:rPr>
                <w:b/>
                <w:bCs/>
                <w:color w:val="00274C"/>
                <w:position w:val="0"/>
                <w:sz w:val="20"/>
                <w:szCs w:val="20"/>
                <w:u w:val="none"/>
              </w:rPr>
              <w:br/>
              <w:t xml:space="preserve">Fig 2.20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2.11.4 Radiateur (option)</w:t>
            </w:r>
          </w:p>
          <w:p/>
          <w:p/>
          <w:p>
            <w:pPr>
              <w:widowControl w:val="on"/>
              <w:pBdr/>
              <w:spacing w:before="0" w:after="0" w:line="262" w:lineRule="auto"/>
              <w:ind w:left="0" w:right="0"/>
              <w:jc w:val="left"/>
              <w:textAlignment w:val="center"/>
            </w:pPr>
            <w:r>
              <w:rPr>
                <w:b/>
                <w:bCs/>
                <w:color w:val="00274C"/>
                <w:position w:val="-2"/>
                <w:sz w:val="20"/>
                <w:szCs w:val="20"/>
                <w:u w:val="none"/>
              </w:rPr>
              <w:t xml:space="preserve">REMARQUE :</w:t>
            </w:r>
            <w:r>
              <w:rPr>
                <w:color w:val="00274C"/>
                <w:position w:val="-2"/>
                <w:sz w:val="20"/>
                <w:szCs w:val="20"/>
                <w:u w:val="none"/>
              </w:rPr>
              <w:t xml:space="preserve"> Composant non nécessairement fourni par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b/>
                <w:bCs/>
                <w:color w:val="00274C"/>
                <w:position w:val="-2"/>
                <w:sz w:val="20"/>
                <w:szCs w:val="20"/>
                <w:u w:val="none"/>
              </w:rPr>
              <w:br/>
              <w:t xml:space="preserve">Tab 2.27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left"/>
                    <w:textAlignment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Bouchon de ravitaillement du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reniflard ou de retour du réfrigérant en excès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Manchon de retour du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Manchon d'aspiration du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Ventilateur de refroidissement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Grille de protection</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0400"/>
                  <wp:effectExtent b="0" l="0" r="0" t="0"/>
                  <wp:docPr id="55753855" name="name23836a9e744fa49bd" descr="2.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0.jpg"/>
                          <pic:cNvPicPr/>
                        </pic:nvPicPr>
                        <pic:blipFill>
                          <a:blip r:embed="rId60136a9e744fa49b9"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2.21</w:t>
            </w:r>
          </w:p>
          <w:p/>
          <w:p/>
          <w:p>
            <w:pPr>
              <w:widowControl w:val="on"/>
              <w:pBdr/>
              <w:spacing w:before="0" w:after="0" w:line="262" w:lineRule="auto"/>
              <w:ind w:left="0" w:right="0"/>
              <w:jc w:val="left"/>
              <w:textAlignment w:val="top"/>
            </w:pPr>
            <w:r>
              <w:rPr>
                <w:position w:val="-232"/>
              </w:rPr>
              <w:drawing>
                <wp:inline distT="0" distB="0" distL="0" distR="0">
                  <wp:extent cx="2232000" cy="1526400"/>
                  <wp:effectExtent b="0" l="0" r="0" t="0"/>
                  <wp:docPr id="16584171" name="name71006a9e744fb2a09" descr="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1.jpg"/>
                          <pic:cNvPicPr/>
                        </pic:nvPicPr>
                        <pic:blipFill>
                          <a:blip r:embed="rId17206a9e744fb2a05" cstate="print"/>
                          <a:stretch>
                            <a:fillRect/>
                          </a:stretch>
                        </pic:blipFill>
                        <pic:spPr>
                          <a:xfrm>
                            <a:off x="0" y="0"/>
                            <a:ext cx="2232000" cy="1526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2.22</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Circuit d'admission et d'échappement</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Air en admission</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Gaz en échappement</w:t>
                  </w:r>
                </w:p>
              </w:tc>
            </w:tr>
          </w:tbl>
          <w:p/>
          <w:p/>
          <w:p>
            <w:r>
              <w:rPr>
                <w:position w:val="-366"/>
              </w:rPr>
              <w:drawing>
                <wp:inline distT="0" distB="0" distL="0" distR="0">
                  <wp:extent cx="5544000" cy="4622400"/>
                  <wp:effectExtent b="0" l="0" r="0" t="0"/>
                  <wp:docPr id="15431587" name="name11066a9e744fc53fa" descr="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2.jpg"/>
                          <pic:cNvPicPr/>
                        </pic:nvPicPr>
                        <pic:blipFill>
                          <a:blip r:embed="rId93246a9e744fc53f6" cstate="print"/>
                          <a:stretch>
                            <a:fillRect/>
                          </a:stretch>
                        </pic:blipFill>
                        <pic:spPr>
                          <a:xfrm>
                            <a:off x="0" y="0"/>
                            <a:ext cx="5544000" cy="4622400"/>
                          </a:xfrm>
                          <a:prstGeom prst="rect">
                            <a:avLst/>
                          </a:prstGeom>
                          <a:ln w="0">
                            <a:noFill/>
                          </a:ln>
                        </pic:spPr>
                      </pic:pic>
                    </a:graphicData>
                  </a:graphic>
                </wp:inline>
              </w:drawing>
            </w:r>
            <w:r>
              <w:rPr>
                <w:position w:val="-406"/>
              </w:rPr>
              <w:drawing>
                <wp:inline distT="0" distB="0" distL="0" distR="0">
                  <wp:extent cx="5544000" cy="5126400"/>
                  <wp:effectExtent b="0" l="0" r="0" t="0"/>
                  <wp:docPr id="23329553" name="name14446a9e744fd5175" descr="2.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3.jpg"/>
                          <pic:cNvPicPr/>
                        </pic:nvPicPr>
                        <pic:blipFill>
                          <a:blip r:embed="rId77396a9e744fd5171" cstate="print"/>
                          <a:stretch>
                            <a:fillRect/>
                          </a:stretch>
                        </pic:blipFill>
                        <pic:spPr>
                          <a:xfrm>
                            <a:off x="0" y="0"/>
                            <a:ext cx="5544000" cy="5126400"/>
                          </a:xfrm>
                          <a:prstGeom prst="rect">
                            <a:avLst/>
                          </a:prstGeom>
                          <a:ln w="0">
                            <a:noFill/>
                          </a:ln>
                        </pic:spPr>
                      </pic:pic>
                    </a:graphicData>
                  </a:graphic>
                </wp:inline>
              </w:drawing>
            </w:r>
            <w:r>
              <w:rPr>
                <w:b/>
                <w:bCs/>
                <w:color w:val="00274C"/>
                <w:position w:val="-2"/>
                <w:sz w:val="20"/>
                <w:szCs w:val="20"/>
                <w:u w:val="none"/>
              </w:rPr>
              <w:br/>
              <w:br/>
              <w:t xml:space="preserve">Fig 2.23</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2763014" name="name31376a9e744fd9cd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3036a9e744fd9cd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La température de l’air à l’intérieur de collecteur d’admission ne doit jamais dépasser la température ambiante de plus de 10 °C.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L'air filtré est aspiré à travers par le turbocompresseur qui le comprime dans le collecteur d'aspiration puis, à travers les conduits de la culasse du moteur, il pénètre à l'intérieur des cylindres. Dans les cylindres, l'air comprimé est mélangé avec le carburant et, après la combustion, se transforme en gaz. Le gaz est expulsé hors des cylindres et envoyé au collecteur d'échappement. Le collecteur d'évacuation envoie le gaz vers le corps du turbocompresseur (les gaz expulsés activent la turbine), puis les gaz procèdent vers la ligne de déchargement pour être définitivement expulsés.</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2.28</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en admission depuis le filtre à air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en compression dans le turbocompresseur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en admission culasse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en admission cylindres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Gaz en sortie cylindres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Gaz en sortie culasse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Gaz en sortie vers le pot d'échappement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Gaz en en déchargement depuis le turbocompresseur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Collecteur d’admission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Collecteur d’échappement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Pot d'échappement (option)</w:t>
                  </w: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2.12.1 Filtre à air (option)</w:t>
            </w:r>
          </w:p>
          <w:p>
            <w:pPr>
              <w:widowControl w:val="on"/>
              <w:pBdr/>
              <w:spacing w:before="0" w:after="0" w:line="262" w:lineRule="auto"/>
              <w:ind w:left="0" w:right="0"/>
              <w:jc w:val="left"/>
              <w:textAlignment w:val="center"/>
            </w:pPr>
            <w:r>
              <w:rPr>
                <w:b/>
                <w:bCs/>
                <w:color w:val="00274C"/>
                <w:position w:val="-2"/>
                <w:sz w:val="20"/>
                <w:szCs w:val="20"/>
                <w:u w:val="none"/>
              </w:rPr>
              <w:br/>
              <w:br/>
              <w:t xml:space="preserve">REMARQUE</w:t>
            </w:r>
            <w:r>
              <w:rPr>
                <w:color w:val="00274C"/>
                <w:position w:val="-2"/>
                <w:sz w:val="20"/>
                <w:szCs w:val="20"/>
                <w:u w:val="none"/>
              </w:rPr>
              <w:t xml:space="preserve"> : Composant pas nécessairement fourni par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9097340" name="name70776a9e744fe7a9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4026a9e744fe7a9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62" w:lineRule="auto"/>
              <w:ind w:left="0" w:right="0"/>
              <w:jc w:val="left"/>
              <w:textAlignment w:val="center"/>
            </w:pPr>
          </w:p>
          <w:p>
            <w:pPr>
              <w:numPr>
                <w:ilvl w:val="0"/>
                <w:numId w:val="16399"/>
              </w:numPr>
              <w:spacing w:before="0" w:after="0" w:line="262" w:lineRule="auto"/>
              <w:jc w:val="left"/>
              <w:rPr>
                <w:color w:val="00274C"/>
                <w:sz w:val="20"/>
                <w:szCs w:val="20"/>
              </w:rPr>
            </w:pPr>
            <w:r>
              <w:rPr>
                <w:color w:val="00274C"/>
                <w:position w:val="-2"/>
                <w:sz w:val="20"/>
                <w:szCs w:val="20"/>
                <w:u w:val="none"/>
              </w:rPr>
              <w:t xml:space="preserve">Le filtre à air est du type à sec avec cartouche filtrante en papier </w:t>
            </w:r>
            <w:r>
              <w:rPr>
                <w:b/>
                <w:bCs/>
                <w:color w:val="00274C"/>
                <w:position w:val="-2"/>
                <w:sz w:val="20"/>
                <w:szCs w:val="20"/>
                <w:u w:val="none"/>
              </w:rPr>
              <w:t xml:space="preserve">H</w:t>
            </w:r>
            <w:r>
              <w:rPr>
                <w:color w:val="00274C"/>
                <w:position w:val="-2"/>
                <w:sz w:val="20"/>
                <w:szCs w:val="20"/>
                <w:u w:val="none"/>
              </w:rPr>
              <w:t xml:space="preserve"> rechargeable (voir le </w:t>
            </w:r>
            <w:r>
              <w:rPr>
                <w:b/>
                <w:bCs/>
                <w:color w:val="00274C"/>
                <w:position w:val="-2"/>
                <w:sz w:val="20"/>
                <w:szCs w:val="20"/>
                <w:u w:val="none"/>
              </w:rPr>
              <w:t xml:space="preserve">Tab. 2.8 et le Tab. 2.9</w:t>
            </w:r>
            <w:r>
              <w:rPr>
                <w:color w:val="00274C"/>
                <w:position w:val="-2"/>
                <w:sz w:val="20"/>
                <w:szCs w:val="20"/>
                <w:u w:val="none"/>
              </w:rPr>
              <w:t xml:space="preserve"> pour la fréquence d’intervention sur les composants).</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L'aspiration du filtre doit être positionnée dans une zone fraîche.</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En cas d'utilisation d'un manchon, la longueur ne doit pas dépasser </w:t>
            </w:r>
            <w:r>
              <w:rPr>
                <w:b/>
                <w:bCs/>
                <w:color w:val="00274C"/>
                <w:position w:val="-2"/>
                <w:sz w:val="20"/>
                <w:szCs w:val="20"/>
                <w:u w:val="none"/>
              </w:rPr>
              <w:t xml:space="preserve">400 mm</w:t>
            </w:r>
            <w:r>
              <w:rPr>
                <w:color w:val="00274C"/>
                <w:position w:val="-2"/>
                <w:sz w:val="20"/>
                <w:szCs w:val="20"/>
                <w:u w:val="none"/>
              </w:rPr>
              <w:t xml:space="preserve"> et il doit être aussi rectiligne que possible.</w:t>
            </w:r>
          </w:p>
          <w:p>
            <w:pPr>
              <w:widowControl w:val="on"/>
              <w:pBdr/>
              <w:spacing w:before="0" w:after="0" w:line="262" w:lineRule="auto"/>
              <w:ind w:left="0" w:right="0"/>
              <w:jc w:val="left"/>
              <w:textAlignment w:val="center"/>
            </w:pPr>
            <w:r>
              <w:rPr>
                <w:position w:val="-107"/>
              </w:rPr>
              <w:drawing>
                <wp:inline distT="0" distB="0" distL="0" distR="0">
                  <wp:extent cx="3412800" cy="1404000"/>
                  <wp:effectExtent b="0" l="0" r="0" t="0"/>
                  <wp:docPr id="35390814" name="name93206a9e744ff2e02" descr="Fig._2.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4.jpg"/>
                          <pic:cNvPicPr/>
                        </pic:nvPicPr>
                        <pic:blipFill>
                          <a:blip r:embed="rId35846a9e744ff2dff" cstate="print"/>
                          <a:stretch>
                            <a:fillRect/>
                          </a:stretch>
                        </pic:blipFill>
                        <pic:spPr>
                          <a:xfrm>
                            <a:off x="0" y="0"/>
                            <a:ext cx="3412800" cy="1404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2.29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Cartouche filtre à air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Couvercle du filtre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Support du filtre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Soupape évacuation des poussières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Crochet de couvercle du filtre</w:t>
                  </w:r>
                </w:p>
              </w:tc>
            </w:tr>
          </w:tbl>
          <w:p/>
        </w:tc>
      </w:tr>
      <w:tr>
        <w:trPr>
          <w:trHeight w:val="0" w:hRule="atLeast"/>
        </w:trPr>
        <w:tc>
          <w:tcPr>
            <w:tcW w:w="0" w:type="auto"/>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2.12.2 Turbocompresseur</w:t>
            </w:r>
            <w:r>
              <w:rPr>
                <w:color w:val="00274C"/>
                <w:position w:val="-2"/>
                <w:sz w:val="20"/>
                <w:szCs w:val="20"/>
                <w:u w:val="none"/>
              </w:rPr>
              <w:br/>
              <w:t xml:space="preserve">Le turbocompresseur est commandé par l'intermédiaire des gaz d'échappement qui activent la turbine.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9985969" name="name61336a9e74500829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0416a9e74500828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Consulter au </w:t>
            </w:r>
            <w:hyperlink r:id="rId84316a9e745008a14" w:history="1">
              <w:r>
                <w:rPr>
                  <w:rStyle w:val="DefaultParagraphFontPHPDOCX"/>
                  <w:b/>
                  <w:bCs/>
                  <w:color w:val="0000FF"/>
                  <w:position w:val="-2"/>
                  <w:sz w:val="20"/>
                  <w:szCs w:val="20"/>
                  <w:u w:val="none"/>
                </w:rPr>
                <w:t xml:space="preserve">Par 2.18</w:t>
              </w:r>
            </w:hyperlink>
            <w:r>
              <w:rPr>
                <w:color w:val="00274C"/>
                <w:position w:val="-2"/>
                <w:sz w:val="20"/>
                <w:szCs w:val="20"/>
                <w:u w:val="none"/>
              </w:rPr>
              <w:t xml:space="preserve"> .</w:t>
            </w:r>
          </w:p>
          <w:p/>
          <w:p>
            <w:pPr>
              <w:widowControl w:val="on"/>
              <w:pBdr/>
              <w:spacing w:before="0" w:after="0" w:line="240" w:lineRule="auto"/>
              <w:ind w:left="0" w:right="0"/>
              <w:jc w:val="left"/>
            </w:pPr>
            <w:r>
              <w:rPr>
                <w:b/>
                <w:bCs/>
                <w:color w:val="00274C"/>
                <w:position w:val="-2"/>
                <w:sz w:val="20"/>
                <w:szCs w:val="20"/>
                <w:u w:val="none"/>
              </w:rPr>
              <w:t xml:space="preserve">Tab 2.29b</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Manchon d'admission d'air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Écrou de compression de l'air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Corps central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Écrou gaz d'échappement de commande de la turbine avec soupape Waste Gate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Bride d'échappement des gaz</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commande du dispositif soupape Waste Gate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Actionneur de commande de la soupape Waste Gate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Tige de commande soupape Waste Gate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Manchon d'aération des vapeurs d'huile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Tube d'envoi de l'air comprimé au collecteur aspiration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retour d'huile dans le carter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refoulement d’huile</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54"/>
              </w:rPr>
              <w:drawing>
                <wp:inline distT="0" distB="0" distL="0" distR="0">
                  <wp:extent cx="2232000" cy="2901600"/>
                  <wp:effectExtent b="0" l="0" r="0" t="0"/>
                  <wp:docPr id="29188286" name="name31626a9e74501bed4" descr="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5.jpg"/>
                          <pic:cNvPicPr/>
                        </pic:nvPicPr>
                        <pic:blipFill>
                          <a:blip r:embed="rId25686a9e74501bed0" cstate="print"/>
                          <a:stretch>
                            <a:fillRect/>
                          </a:stretch>
                        </pic:blipFill>
                        <pic:spPr>
                          <a:xfrm>
                            <a:off x="0" y="0"/>
                            <a:ext cx="2232000" cy="2901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2.24</w:t>
            </w:r>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Circuit électrique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 Câblage électrique moteur (option)</w:t>
                  </w:r>
                </w:p>
                <w:p>
                  <w:pPr>
                    <w:widowControl w:val="on"/>
                    <w:pBdr/>
                    <w:spacing w:before="0" w:after="0" w:line="262" w:lineRule="auto"/>
                    <w:ind w:left="0" w:right="0"/>
                    <w:jc w:val="left"/>
                    <w:textAlignment w:val="center"/>
                  </w:pPr>
                  <w:r>
                    <w:rPr>
                      <w:b/>
                      <w:bCs/>
                      <w:color w:val="00274C"/>
                      <w:position w:val="-2"/>
                      <w:sz w:val="20"/>
                      <w:szCs w:val="20"/>
                      <w:u w:val="none"/>
                    </w:rPr>
                    <w:br/>
                    <w:br/>
                    <w:t xml:space="preserve">REMARQUE</w:t>
                  </w:r>
                  <w:r>
                    <w:rPr>
                      <w:color w:val="00274C"/>
                      <w:position w:val="-2"/>
                      <w:sz w:val="20"/>
                      <w:szCs w:val="20"/>
                      <w:u w:val="none"/>
                    </w:rPr>
                    <w:t xml:space="preserve"> : Composant pas nécessairement fourni par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câblage électrique est fourni sur demande, il est connecté au tableau par des connecteurs Deutsch à 19 voies (femelle sur le tableau du moteur - mâle sur le tableau des accessoires).</w:t>
                  </w:r>
                  <w:r>
                    <w:rPr>
                      <w:color w:val="00274C"/>
                      <w:position w:val="-2"/>
                      <w:sz w:val="20"/>
                      <w:szCs w:val="20"/>
                      <w:u w:val="none"/>
                    </w:rPr>
                    <w:br/>
                    <w:br/>
                    <w:t xml:space="preserve">Le </w:t>
                  </w:r>
                  <w:r>
                    <w:rPr>
                      <w:b/>
                      <w:bCs/>
                      <w:color w:val="00274C"/>
                      <w:position w:val="-2"/>
                      <w:sz w:val="20"/>
                      <w:szCs w:val="20"/>
                      <w:u w:val="none"/>
                    </w:rPr>
                    <w:t xml:space="preserve">Tab. 2.30</w:t>
                  </w:r>
                  <w:r>
                    <w:rPr>
                      <w:color w:val="00274C"/>
                      <w:position w:val="-2"/>
                      <w:sz w:val="20"/>
                      <w:szCs w:val="20"/>
                      <w:u w:val="none"/>
                    </w:rPr>
                    <w:t xml:space="preserve">  décrit les connecteurs.</w:t>
                  </w:r>
                </w:p>
                <w:p>
                  <w:pPr>
                    <w:widowControl w:val="on"/>
                    <w:pBdr/>
                    <w:spacing w:before="0" w:after="0" w:line="262" w:lineRule="auto"/>
                    <w:ind w:left="0" w:right="0"/>
                    <w:jc w:val="left"/>
                    <w:textAlignment w:val="center"/>
                  </w:pPr>
                  <w:r>
                    <w:rPr>
                      <w:position w:val="-177"/>
                    </w:rPr>
                    <w:drawing>
                      <wp:inline distT="0" distB="0" distL="0" distR="0">
                        <wp:extent cx="3700800" cy="2275200"/>
                        <wp:effectExtent b="0" l="0" r="0" t="0"/>
                        <wp:docPr id="40279889" name="name71546a9e745027a59" descr="Fig._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5.jpg"/>
                                <pic:cNvPicPr/>
                              </pic:nvPicPr>
                              <pic:blipFill>
                                <a:blip r:embed="rId77356a9e745027a55" cstate="print"/>
                                <a:stretch>
                                  <a:fillRect/>
                                </a:stretch>
                              </pic:blipFill>
                              <pic:spPr>
                                <a:xfrm>
                                  <a:off x="0" y="0"/>
                                  <a:ext cx="3700800" cy="2275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br/>
                    <w:br/>
                    <w:br/>
                    <w:br/>
                    <w:br/>
                    <w:br/>
                    <w:br/>
                    <w:br/>
                    <w:t xml:space="preserve">Fig 2.25</w:t>
                  </w:r>
                </w:p>
                <w:p/>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2.30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Connecteur d'interface avec le tableau du moteur </w:t>
                        </w:r>
                        <w:r>
                          <w:rPr>
                            <w:b/>
                            <w:bCs/>
                            <w:color w:val="00274C"/>
                            <w:position w:val="-2"/>
                            <w:sz w:val="20"/>
                            <w:szCs w:val="20"/>
                            <w:u w:val="none"/>
                            <w:shd w:val="clear" w:color="auto" w:fill="E1E2E0"/>
                          </w:rPr>
                          <w:t xml:space="preserve">(Fig. 2.26a)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d'interface avec le tableau des accessoires </w:t>
                        </w:r>
                        <w:r>
                          <w:rPr>
                            <w:b/>
                            <w:bCs/>
                            <w:color w:val="00274C"/>
                            <w:position w:val="-2"/>
                            <w:sz w:val="20"/>
                            <w:szCs w:val="20"/>
                            <w:u w:val="none"/>
                            <w:shd w:val="clear" w:color="auto" w:fill="E1E2E0"/>
                          </w:rPr>
                          <w:t xml:space="preserve">(Fig. 2.26b)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de la pompe électrique à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Cold Start Advance (sur pompe à injection - </w:t>
                        </w:r>
                        <w:r>
                          <w:rPr>
                            <w:b/>
                            <w:bCs/>
                            <w:color w:val="00274C"/>
                            <w:position w:val="-2"/>
                            <w:sz w:val="20"/>
                            <w:szCs w:val="20"/>
                            <w:u w:val="none"/>
                            <w:shd w:val="clear" w:color="auto" w:fill="E1E2E0"/>
                          </w:rPr>
                          <w:t xml:space="preserve">Fig. 2.39</w:t>
                        </w: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fusible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Contrôle Elettro-Stop (sur pompe à injection)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alternateur « L » (Iskra)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Connecteurs alternateur « W » (Iskra)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alternateur sans « W » (Chengdu)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alternateur avec « W » (Chengdu)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du capteur de température du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de l'interrupteur de pression d'huile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du démarreur « + 50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du démarreur « + 30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du capteur d'obstruction du filtre à air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de masse</w:t>
                        </w:r>
                      </w:p>
                    </w:tc>
                  </w:tr>
                </w:tbl>
                <w:p/>
              </w:tc>
            </w:tr>
          </w:tbl>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2.13.1.1 Connecteur du tableau de bord moteur/machine</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Le connecteur est du type Deutsch à 19 voies femelle. </w:t>
            </w:r>
            <w:r>
              <w:rPr>
                <w:b/>
                <w:bCs/>
                <w:color w:val="00274C"/>
                <w:position w:val="-2"/>
                <w:sz w:val="20"/>
                <w:szCs w:val="20"/>
                <w:u w:val="none"/>
              </w:rPr>
              <w:t xml:space="preserve">Le Tab. 2.31</w:t>
            </w:r>
            <w:r>
              <w:rPr>
                <w:color w:val="00274C"/>
                <w:position w:val="-2"/>
                <w:sz w:val="20"/>
                <w:szCs w:val="20"/>
                <w:u w:val="none"/>
              </w:rPr>
              <w:t xml:space="preserve">  énumère tous les raccordements avec les PIN.</w:t>
            </w:r>
          </w:p>
          <w:p/>
          <w:p/>
          <w:p>
            <w:pPr>
              <w:widowControl w:val="on"/>
              <w:pBdr/>
              <w:spacing w:before="0" w:after="0" w:line="262" w:lineRule="auto"/>
              <w:ind w:left="0" w:right="0"/>
              <w:jc w:val="left"/>
              <w:textAlignment w:val="center"/>
            </w:pPr>
            <w:r>
              <w:rPr>
                <w:position w:val="-210"/>
              </w:rPr>
              <w:drawing>
                <wp:inline distT="0" distB="0" distL="0" distR="0">
                  <wp:extent cx="2692800" cy="2692800"/>
                  <wp:effectExtent b="0" l="0" r="0" t="0"/>
                  <wp:docPr id="4361666" name="name62316a9e74503d442" descr="Fig._2.2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a.jpg"/>
                          <pic:cNvPicPr/>
                        </pic:nvPicPr>
                        <pic:blipFill>
                          <a:blip r:embed="rId79606a9e74503d43e" cstate="print"/>
                          <a:stretch>
                            <a:fillRect/>
                          </a:stretch>
                        </pic:blipFill>
                        <pic:spPr>
                          <a:xfrm>
                            <a:off x="0" y="0"/>
                            <a:ext cx="2692800" cy="26928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2.26a</w:t>
            </w:r>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2.31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PIN.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SIGNAUX À L'ENTRÉE DU TABLEAU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Interrupteur de pression d'huile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Témoin de l'alternateur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Témoin de température du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Témoin d'obstruction du filtre à air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Sortie de l'indicateur générique d'alarme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Elettro-Stop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Alternateur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Démarreur (+ 30)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Entrée de l'indicateur générique d'alarme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PIN.</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SIGNAUX À LA SORTIE DU TABLEAU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Masse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Alternateur IG excitation (+ 15 clé)</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Démarreur (+ 50)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Grid heater (relais)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électrique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à injection (Cold Start Advance - </w:t>
                  </w:r>
                  <w:r>
                    <w:rPr>
                      <w:b/>
                      <w:bCs/>
                      <w:color w:val="00274C"/>
                      <w:position w:val="-2"/>
                      <w:sz w:val="20"/>
                      <w:szCs w:val="20"/>
                      <w:u w:val="none"/>
                      <w:shd w:val="clear" w:color="auto" w:fill="E1E2E0"/>
                    </w:rPr>
                    <w:t xml:space="preserve">Fig. 2.39</w:t>
                  </w:r>
                  <w:r>
                    <w:rPr>
                      <w:color w:val="00274C"/>
                      <w:position w:val="-2"/>
                      <w:sz w:val="20"/>
                      <w:szCs w:val="20"/>
                      <w:u w:val="none"/>
                      <w:shd w:val="clear" w:color="auto" w:fill="E1E2E0"/>
                    </w:rPr>
                    <w:t xml:space="preserve"> )</w:t>
                  </w:r>
                </w:p>
              </w:tc>
            </w:tr>
          </w:tbl>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2.13.1.2 Connecteur du tableau des accessoires</w:t>
            </w:r>
          </w:p>
          <w:p/>
          <w:p/>
          <w:p>
            <w:pPr>
              <w:widowControl w:val="on"/>
              <w:pBdr/>
              <w:spacing w:before="0" w:after="0" w:line="262" w:lineRule="auto"/>
              <w:ind w:left="0" w:right="0"/>
              <w:jc w:val="left"/>
              <w:textAlignment w:val="center"/>
            </w:pPr>
            <w:r>
              <w:rPr>
                <w:color w:val="00274C"/>
                <w:position w:val="-2"/>
                <w:sz w:val="20"/>
                <w:szCs w:val="20"/>
                <w:u w:val="none"/>
              </w:rPr>
              <w:br/>
              <w:t xml:space="preserve">Le connecteur est du type Deutsch à 19 voies mâle. Le </w:t>
            </w:r>
            <w:r>
              <w:rPr>
                <w:b/>
                <w:bCs/>
                <w:color w:val="00274C"/>
                <w:position w:val="-2"/>
                <w:sz w:val="20"/>
                <w:szCs w:val="20"/>
                <w:u w:val="none"/>
              </w:rPr>
              <w:t xml:space="preserve">Tab. 2.32</w:t>
            </w:r>
            <w:r>
              <w:rPr>
                <w:color w:val="00274C"/>
                <w:position w:val="-2"/>
                <w:sz w:val="20"/>
                <w:szCs w:val="20"/>
                <w:u w:val="none"/>
              </w:rPr>
              <w:t xml:space="preserve">  énumère tous les raccordements avec les PIN.</w:t>
            </w:r>
          </w:p>
          <w:p/>
          <w:p/>
          <w:p>
            <w:pPr>
              <w:widowControl w:val="on"/>
              <w:pBdr/>
              <w:spacing w:before="0" w:after="0" w:line="262" w:lineRule="auto"/>
              <w:ind w:left="0" w:right="0"/>
              <w:jc w:val="left"/>
              <w:textAlignment w:val="center"/>
            </w:pPr>
            <w:r>
              <w:rPr>
                <w:position w:val="-204"/>
              </w:rPr>
              <w:drawing>
                <wp:inline distT="0" distB="0" distL="0" distR="0">
                  <wp:extent cx="2613600" cy="2613600"/>
                  <wp:effectExtent b="0" l="0" r="0" t="0"/>
                  <wp:docPr id="75345913" name="name47966a9e745053538" descr="Fig._2.2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b.jpg"/>
                          <pic:cNvPicPr/>
                        </pic:nvPicPr>
                        <pic:blipFill>
                          <a:blip r:embed="rId77556a9e745053534" cstate="print"/>
                          <a:stretch>
                            <a:fillRect/>
                          </a:stretch>
                        </pic:blipFill>
                        <pic:spPr>
                          <a:xfrm>
                            <a:off x="0" y="0"/>
                            <a:ext cx="2613600" cy="2613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2.26b</w:t>
            </w:r>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2.32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br/>
                    <w:t xml:space="preserve">PIN.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SIGNAUX À L'ENTRÉE DU TABLEAU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carburant (capteur de présence d'eau)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Radiateur (capteur de niveau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Sortie de l'indicateur générique d'alarme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Stop externe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Entrée de l'indicateur générique d'alarme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Réservoir à carburant (capteur de niveau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PIN.</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SIGNAUX À LA SORTIE DU TABLEAU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Masse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Relais avec fusible 5 A (+ 15 clé)</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Grid heater (relais)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Alternateur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Témoin de température du réfrigérant</w:t>
                  </w:r>
                </w:p>
              </w:tc>
            </w:tr>
          </w:tbl>
          <w:p/>
          <w:p/>
          <w:p/>
          <w:p/>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2.13.1.3 Débranchement du câblage</w:t>
            </w:r>
          </w:p>
          <w:p>
            <w:pPr>
              <w:widowControl w:val="on"/>
              <w:pBdr/>
              <w:spacing w:before="0" w:after="0" w:line="262" w:lineRule="auto"/>
              <w:ind w:left="0" w:right="0"/>
              <w:jc w:val="left"/>
              <w:textAlignment w:val="center"/>
            </w:pPr>
            <w:r>
              <w:rPr>
                <w:color w:val="00274C"/>
                <w:position w:val="-2"/>
                <w:sz w:val="20"/>
                <w:szCs w:val="20"/>
                <w:u w:val="none"/>
              </w:rPr>
              <w:t xml:space="preserve">Certains connecteurs des capteurs et des dispositifs à commande électronique sont étanches.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Ce type de  connecteurs doivent être débranchés en exerçant une pression sur les languettes A ou en débloquant les arrêts B, comme illustré de la  </w:t>
            </w:r>
            <w:r>
              <w:rPr>
                <w:b/>
                <w:bCs/>
                <w:color w:val="00274C"/>
                <w:position w:val="-2"/>
                <w:sz w:val="20"/>
                <w:szCs w:val="20"/>
                <w:u w:val="none"/>
              </w:rPr>
              <w:t xml:space="preserve">Fig. 2.26c</w:t>
            </w:r>
            <w:r>
              <w:rPr>
                <w:color w:val="00274C"/>
                <w:position w:val="-2"/>
                <w:sz w:val="20"/>
                <w:szCs w:val="20"/>
                <w:u w:val="none"/>
              </w:rPr>
              <w:t xml:space="preserve"> a </w:t>
            </w:r>
            <w:r>
              <w:rPr>
                <w:b/>
                <w:bCs/>
                <w:color w:val="00274C"/>
                <w:position w:val="-2"/>
                <w:sz w:val="20"/>
                <w:szCs w:val="20"/>
                <w:u w:val="none"/>
              </w:rPr>
              <w:t xml:space="preserve">Fig. 2.26g.</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72"/>
              </w:rPr>
              <w:drawing>
                <wp:inline distT="0" distB="0" distL="0" distR="0">
                  <wp:extent cx="2620800" cy="1764000"/>
                  <wp:effectExtent b="0" l="0" r="0" t="0"/>
                  <wp:docPr id="41346934" name="name15876a9e74506a0a8" descr="Fig._2.26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c.jpg"/>
                          <pic:cNvPicPr/>
                        </pic:nvPicPr>
                        <pic:blipFill>
                          <a:blip r:embed="rId34216a9e74506a0a4" cstate="print"/>
                          <a:stretch>
                            <a:fillRect/>
                          </a:stretch>
                        </pic:blipFill>
                        <pic:spPr>
                          <a:xfrm>
                            <a:off x="0" y="0"/>
                            <a:ext cx="2620800" cy="1764000"/>
                          </a:xfrm>
                          <a:prstGeom prst="rect">
                            <a:avLst/>
                          </a:prstGeom>
                          <a:ln w="0">
                            <a:noFill/>
                          </a:ln>
                        </pic:spPr>
                      </pic:pic>
                    </a:graphicData>
                  </a:graphic>
                </wp:inline>
              </w:drawing>
            </w:r>
            <w:r>
              <w:rPr>
                <w:b/>
                <w:bCs/>
                <w:color w:val="00274C"/>
                <w:position w:val="0"/>
                <w:sz w:val="20"/>
                <w:szCs w:val="20"/>
                <w:u w:val="none"/>
              </w:rPr>
              <w:br/>
              <w:t xml:space="preserve">Fig 2.26c</w:t>
            </w:r>
          </w:p>
        </w:tc>
      </w:tr>
      <w:tr>
        <w:trPr>
          <w:trHeight w:val="0" w:hRule="atLeast"/>
        </w:trPr>
        <w:tc>
          <w:tcPr>
            <w:tcW w:w="0" w:type="auto"/>
            <w:tcMar>
              <w:top w:w="150" w:type="dxa"/>
              <w:left w:w="150" w:type="dxa"/>
              <w:bottom w:w="150" w:type="dxa"/>
              <w:right w:w="150" w:type="dxa"/>
            </w:tcMar>
            <w:vAlign w:val="center"/>
          </w:tcPr>
          <w:p>
            <w:r>
              <w:rPr>
                <w:position w:val="-138"/>
              </w:rPr>
              <w:drawing>
                <wp:inline distT="0" distB="0" distL="0" distR="0">
                  <wp:extent cx="2664000" cy="1792800"/>
                  <wp:effectExtent b="0" l="0" r="0" t="0"/>
                  <wp:docPr id="82376281" name="name71596a9e74507c27d" descr="Fig._2.26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d.jpg"/>
                          <pic:cNvPicPr/>
                        </pic:nvPicPr>
                        <pic:blipFill>
                          <a:blip r:embed="rId31686a9e74507c279" cstate="print"/>
                          <a:stretch>
                            <a:fillRect/>
                          </a:stretch>
                        </pic:blipFill>
                        <pic:spPr>
                          <a:xfrm>
                            <a:off x="0" y="0"/>
                            <a:ext cx="2664000" cy="1792800"/>
                          </a:xfrm>
                          <a:prstGeom prst="rect">
                            <a:avLst/>
                          </a:prstGeom>
                          <a:ln w="0">
                            <a:noFill/>
                          </a:ln>
                        </pic:spPr>
                      </pic:pic>
                    </a:graphicData>
                  </a:graphic>
                </wp:inline>
              </w:drawing>
            </w:r>
            <w:r>
              <w:rPr>
                <w:b/>
                <w:bCs/>
                <w:color w:val="00274C"/>
                <w:position w:val="-2"/>
                <w:sz w:val="20"/>
                <w:szCs w:val="20"/>
                <w:u w:val="none"/>
              </w:rPr>
              <w:br/>
              <w:t xml:space="preserve">Fig 2.26d</w:t>
            </w:r>
          </w:p>
        </w:tc>
        <w:tc>
          <w:tcPr>
            <w:tcW w:w="0" w:type="auto"/>
            <w:tcMar>
              <w:top w:w="150" w:type="dxa"/>
              <w:left w:w="150" w:type="dxa"/>
              <w:bottom w:w="150" w:type="dxa"/>
              <w:right w:w="150" w:type="dxa"/>
            </w:tcMar>
            <w:vAlign w:val="top"/>
          </w:tcPr>
          <w:p>
            <w:r>
              <w:rPr>
                <w:position w:val="-272"/>
              </w:rPr>
              <w:drawing>
                <wp:inline distT="0" distB="0" distL="0" distR="0">
                  <wp:extent cx="2635200" cy="1771200"/>
                  <wp:effectExtent b="0" l="0" r="0" t="0"/>
                  <wp:docPr id="23303864" name="name90916a9e74508d154" descr="Fig._2.26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e.jpg"/>
                          <pic:cNvPicPr/>
                        </pic:nvPicPr>
                        <pic:blipFill>
                          <a:blip r:embed="rId42256a9e74508d14f" cstate="print"/>
                          <a:stretch>
                            <a:fillRect/>
                          </a:stretch>
                        </pic:blipFill>
                        <pic:spPr>
                          <a:xfrm>
                            <a:off x="0" y="0"/>
                            <a:ext cx="2635200" cy="1771200"/>
                          </a:xfrm>
                          <a:prstGeom prst="rect">
                            <a:avLst/>
                          </a:prstGeom>
                          <a:ln w="0">
                            <a:noFill/>
                          </a:ln>
                        </pic:spPr>
                      </pic:pic>
                    </a:graphicData>
                  </a:graphic>
                </wp:inline>
              </w:drawing>
            </w:r>
            <w:r>
              <w:rPr>
                <w:b/>
                <w:bCs/>
                <w:color w:val="00274C"/>
                <w:position w:val="0"/>
                <w:sz w:val="20"/>
                <w:szCs w:val="20"/>
                <w:u w:val="none"/>
              </w:rPr>
              <w:br/>
              <w:t xml:space="preserve">Fig 2.26e</w:t>
            </w:r>
          </w:p>
        </w:tc>
      </w:tr>
      <w:tr>
        <w:trPr>
          <w:trHeight w:val="0" w:hRule="atLeast"/>
        </w:trPr>
        <w:tc>
          <w:tcPr>
            <w:tcW w:w="0" w:type="auto"/>
            <w:tcMar>
              <w:top w:w="150" w:type="dxa"/>
              <w:left w:w="150" w:type="dxa"/>
              <w:bottom w:w="150" w:type="dxa"/>
              <w:right w:w="150" w:type="dxa"/>
            </w:tcMar>
            <w:vAlign w:val="center"/>
          </w:tcPr>
          <w:p>
            <w:r>
              <w:rPr>
                <w:position w:val="-134"/>
              </w:rPr>
              <w:drawing>
                <wp:inline distT="0" distB="0" distL="0" distR="0">
                  <wp:extent cx="2592000" cy="1742400"/>
                  <wp:effectExtent b="0" l="0" r="0" t="0"/>
                  <wp:docPr id="74093035" name="name41176a9e74509c713" descr="Fig._2.26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f.jpg"/>
                          <pic:cNvPicPr/>
                        </pic:nvPicPr>
                        <pic:blipFill>
                          <a:blip r:embed="rId59026a9e74509c70f" cstate="print"/>
                          <a:stretch>
                            <a:fillRect/>
                          </a:stretch>
                        </pic:blipFill>
                        <pic:spPr>
                          <a:xfrm>
                            <a:off x="0" y="0"/>
                            <a:ext cx="2592000" cy="1742400"/>
                          </a:xfrm>
                          <a:prstGeom prst="rect">
                            <a:avLst/>
                          </a:prstGeom>
                          <a:ln w="0">
                            <a:noFill/>
                          </a:ln>
                        </pic:spPr>
                      </pic:pic>
                    </a:graphicData>
                  </a:graphic>
                </wp:inline>
              </w:drawing>
            </w:r>
            <w:r>
              <w:rPr>
                <w:b/>
                <w:bCs/>
                <w:color w:val="00274C"/>
                <w:position w:val="-2"/>
                <w:sz w:val="20"/>
                <w:szCs w:val="20"/>
                <w:u w:val="none"/>
              </w:rPr>
              <w:br/>
              <w:t xml:space="preserve">Fig 2.26f</w:t>
            </w:r>
          </w:p>
        </w:tc>
        <w:tc>
          <w:tcPr>
            <w:tcW w:w="0" w:type="auto"/>
            <w:tcMar>
              <w:top w:w="150" w:type="dxa"/>
              <w:left w:w="150" w:type="dxa"/>
              <w:bottom w:w="150" w:type="dxa"/>
              <w:right w:w="150" w:type="dxa"/>
            </w:tcMar>
            <w:vAlign w:val="top"/>
          </w:tcPr>
          <w:p>
            <w:r>
              <w:rPr>
                <w:position w:val="-264"/>
              </w:rPr>
              <w:drawing>
                <wp:inline distT="0" distB="0" distL="0" distR="0">
                  <wp:extent cx="2548800" cy="1713600"/>
                  <wp:effectExtent b="0" l="0" r="0" t="0"/>
                  <wp:docPr id="8342701" name="name21186a9e7450acd62" descr="Fig._2.26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g.jpg"/>
                          <pic:cNvPicPr/>
                        </pic:nvPicPr>
                        <pic:blipFill>
                          <a:blip r:embed="rId22876a9e7450acd5e" cstate="print"/>
                          <a:stretch>
                            <a:fillRect/>
                          </a:stretch>
                        </pic:blipFill>
                        <pic:spPr>
                          <a:xfrm>
                            <a:off x="0" y="0"/>
                            <a:ext cx="2548800" cy="1713600"/>
                          </a:xfrm>
                          <a:prstGeom prst="rect">
                            <a:avLst/>
                          </a:prstGeom>
                          <a:ln w="0">
                            <a:noFill/>
                          </a:ln>
                        </pic:spPr>
                      </pic:pic>
                    </a:graphicData>
                  </a:graphic>
                </wp:inline>
              </w:drawing>
            </w:r>
            <w:r>
              <w:rPr>
                <w:b/>
                <w:bCs/>
                <w:color w:val="00274C"/>
                <w:position w:val="0"/>
                <w:sz w:val="20"/>
                <w:szCs w:val="20"/>
                <w:u w:val="none"/>
              </w:rPr>
              <w:br/>
              <w:t xml:space="preserve">Fig 2.26g</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Capteurs et interrupteurs</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2.14.1 Détecteur de présence d’eau dans le filtre carburant</w:t>
            </w:r>
            <w:r>
              <w:rPr>
                <w:color w:val="00274C"/>
                <w:position w:val="-2"/>
                <w:sz w:val="20"/>
                <w:szCs w:val="20"/>
                <w:u w:val="none"/>
              </w:rPr>
              <w:t xml:space="preserve"> </w:t>
            </w:r>
            <w:r>
              <w:rPr>
                <w:b/>
                <w:bCs/>
                <w:color w:val="00274C"/>
                <w:position w:val="-2"/>
                <w:sz w:val="20"/>
                <w:szCs w:val="20"/>
                <w:u w:val="none"/>
              </w:rPr>
              <w:t xml:space="preserve">(option)</w:t>
            </w:r>
            <w:r>
              <w:rPr>
                <w:color w:val="00274C"/>
                <w:position w:val="-2"/>
                <w:sz w:val="20"/>
                <w:szCs w:val="20"/>
                <w:u w:val="none"/>
              </w:rPr>
              <w:br/>
              <w:br/>
              <w:t xml:space="preserve">Le capteur de présence d’eau dans le filtre carburant sert à signaler la présence d’eau dans le carburant.</w:t>
            </w:r>
            <w:r>
              <w:rPr>
                <w:color w:val="00274C"/>
                <w:position w:val="-2"/>
                <w:sz w:val="20"/>
                <w:szCs w:val="20"/>
                <w:u w:val="none"/>
              </w:rPr>
              <w:br/>
              <w:br/>
              <w:t xml:space="preserve">Le capteur ferme le circuit à la masse en allumant la lampe témoin sur le tableau de bord de la machine où le moteur est monté.</w:t>
            </w:r>
            <w:r>
              <w:rPr>
                <w:color w:val="00274C"/>
                <w:position w:val="-2"/>
                <w:sz w:val="20"/>
                <w:szCs w:val="20"/>
                <w:u w:val="none"/>
              </w:rPr>
              <w:br/>
              <w:br/>
              <w:t xml:space="preserve">L’eau, éventuellement présente dans le carburant, se sépare et se dépose, à cause de son poids spécifique plus important, dans la partie la plus basse du filtre où il y a le bouchon de drainage de l’eau.</w:t>
            </w:r>
            <w:r>
              <w:rPr>
                <w:color w:val="00274C"/>
                <w:position w:val="-2"/>
                <w:sz w:val="20"/>
                <w:szCs w:val="20"/>
                <w:u w:val="none"/>
              </w:rPr>
              <w:br/>
              <w:br/>
              <w:t xml:space="preserve">Dévisser légèrement le bouchon de drainage sans le démonter; faire sortir l’eau s’il y en a.</w:t>
            </w:r>
            <w:r>
              <w:rPr>
                <w:color w:val="00274C"/>
                <w:position w:val="-2"/>
                <w:sz w:val="20"/>
                <w:szCs w:val="20"/>
                <w:u w:val="none"/>
              </w:rPr>
              <w:br/>
              <w:br/>
              <w:t xml:space="preserve">Revisser le bouchon de drainage de l’eau </w:t>
            </w:r>
            <w:r>
              <w:rPr>
                <w:b/>
                <w:bCs/>
                <w:color w:val="00274C"/>
                <w:position w:val="-2"/>
                <w:sz w:val="20"/>
                <w:szCs w:val="20"/>
                <w:u w:val="none"/>
              </w:rPr>
              <w:t xml:space="preserve">H</w:t>
            </w:r>
            <w:r>
              <w:rPr>
                <w:color w:val="00274C"/>
                <w:position w:val="-2"/>
                <w:sz w:val="20"/>
                <w:szCs w:val="20"/>
                <w:u w:val="none"/>
              </w:rPr>
              <w:t xml:space="preserve"> , dès que le carburant s’écoule au dehors.</w:t>
            </w:r>
          </w:p>
        </w:tc>
        <w:tc>
          <w:tcPr>
            <w:tcW w:w="0" w:type="auto"/>
            <w:tcMar>
              <w:top w:w="150" w:type="dxa"/>
              <w:left w:w="150" w:type="dxa"/>
              <w:bottom w:w="150" w:type="dxa"/>
              <w:right w:w="150" w:type="dxa"/>
            </w:tcMar>
            <w:vAlign w:val="top"/>
          </w:tcPr>
          <w:p>
            <w:r>
              <w:rPr>
                <w:position w:val="-512"/>
              </w:rPr>
              <w:drawing>
                <wp:inline distT="0" distB="0" distL="0" distR="0">
                  <wp:extent cx="4824000" cy="3254400"/>
                  <wp:effectExtent b="0" l="0" r="0" t="0"/>
                  <wp:docPr id="40377771" name="name16806a9e7450b7900" descr="Fig._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7.jpg"/>
                          <pic:cNvPicPr/>
                        </pic:nvPicPr>
                        <pic:blipFill>
                          <a:blip r:embed="rId59666a9e7450b78fd" cstate="print"/>
                          <a:stretch>
                            <a:fillRect/>
                          </a:stretch>
                        </pic:blipFill>
                        <pic:spPr>
                          <a:xfrm>
                            <a:off x="0" y="0"/>
                            <a:ext cx="4824000" cy="3254400"/>
                          </a:xfrm>
                          <a:prstGeom prst="rect">
                            <a:avLst/>
                          </a:prstGeom>
                          <a:ln w="0">
                            <a:noFill/>
                          </a:ln>
                        </pic:spPr>
                      </pic:pic>
                    </a:graphicData>
                  </a:graphic>
                </wp:inline>
              </w:drawing>
            </w:r>
            <w:r>
              <w:rPr>
                <w:b/>
                <w:bCs/>
                <w:color w:val="00274C"/>
                <w:position w:val="0"/>
                <w:sz w:val="20"/>
                <w:szCs w:val="20"/>
                <w:u w:val="none"/>
              </w:rPr>
              <w:br/>
              <w:t xml:space="preserve">Fig 2.27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2.14.2</w:t>
            </w:r>
            <w:r>
              <w:rPr>
                <w:color w:val="00274C"/>
                <w:position w:val="-2"/>
                <w:sz w:val="20"/>
                <w:szCs w:val="20"/>
                <w:u w:val="none"/>
              </w:rPr>
              <w:t xml:space="preserve"> </w:t>
            </w:r>
            <w:r>
              <w:rPr>
                <w:b/>
                <w:bCs/>
                <w:color w:val="00274C"/>
                <w:position w:val="-2"/>
                <w:sz w:val="20"/>
                <w:szCs w:val="20"/>
                <w:u w:val="none"/>
              </w:rPr>
              <w:t xml:space="preserve">Interrupteur de pression d'huile</w:t>
            </w:r>
            <w:r>
              <w:rPr>
                <w:color w:val="00274C"/>
                <w:position w:val="-2"/>
                <w:sz w:val="20"/>
                <w:szCs w:val="20"/>
                <w:u w:val="none"/>
              </w:rPr>
              <w:br/>
              <w:br/>
              <w:t xml:space="preserve">L'interrupteur de pression d'huile </w:t>
            </w:r>
            <w:r>
              <w:rPr>
                <w:b/>
                <w:bCs/>
                <w:color w:val="00274C"/>
                <w:position w:val="-2"/>
                <w:sz w:val="20"/>
                <w:szCs w:val="20"/>
                <w:u w:val="none"/>
              </w:rPr>
              <w:t xml:space="preserve">N</w:t>
            </w:r>
            <w:r>
              <w:rPr>
                <w:color w:val="00274C"/>
                <w:position w:val="-2"/>
                <w:sz w:val="20"/>
                <w:szCs w:val="20"/>
                <w:u w:val="none"/>
              </w:rPr>
              <w:t xml:space="preserve"> est monté sur le carter dans la zone du démarreur.</w:t>
            </w:r>
            <w:r>
              <w:rPr>
                <w:color w:val="00274C"/>
                <w:position w:val="-2"/>
                <w:sz w:val="20"/>
                <w:szCs w:val="20"/>
                <w:u w:val="none"/>
              </w:rPr>
              <w:br/>
              <w:br/>
              <w:t xml:space="preserve">Il s’agit d’un capteur N/C avec réglage 0.6 bar ± 0.1 bar.</w:t>
            </w:r>
            <w:r>
              <w:rPr>
                <w:color w:val="00274C"/>
                <w:position w:val="-2"/>
                <w:sz w:val="20"/>
                <w:szCs w:val="20"/>
                <w:u w:val="none"/>
              </w:rPr>
              <w:br/>
              <w:br/>
              <w:t xml:space="preserve">Si la pression d'huile est basse, le capteur ferme le circuit à la masse en allumant le voyant lumineux sur le tableau de bord.</w:t>
            </w:r>
          </w:p>
        </w:tc>
        <w:tc>
          <w:tcPr>
            <w:tcW w:w="0" w:type="auto"/>
            <w:tcMar>
              <w:top w:w="150" w:type="dxa"/>
              <w:left w:w="150" w:type="dxa"/>
              <w:bottom w:w="150" w:type="dxa"/>
              <w:right w:w="150" w:type="dxa"/>
            </w:tcMar>
            <w:vAlign w:val="top"/>
          </w:tcPr>
          <w:p>
            <w:r>
              <w:rPr>
                <w:position w:val="-512"/>
              </w:rPr>
              <w:drawing>
                <wp:inline distT="0" distB="0" distL="0" distR="0">
                  <wp:extent cx="4824000" cy="3254400"/>
                  <wp:effectExtent b="0" l="0" r="0" t="0"/>
                  <wp:docPr id="15531414" name="name53206a9e7450c9179" descr="Fig._2.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8.jpg"/>
                          <pic:cNvPicPr/>
                        </pic:nvPicPr>
                        <pic:blipFill>
                          <a:blip r:embed="rId80186a9e7450c9174" cstate="print"/>
                          <a:stretch>
                            <a:fillRect/>
                          </a:stretch>
                        </pic:blipFill>
                        <pic:spPr>
                          <a:xfrm>
                            <a:off x="0" y="0"/>
                            <a:ext cx="4824000" cy="3254400"/>
                          </a:xfrm>
                          <a:prstGeom prst="rect">
                            <a:avLst/>
                          </a:prstGeom>
                          <a:ln w="0">
                            <a:noFill/>
                          </a:ln>
                        </pic:spPr>
                      </pic:pic>
                    </a:graphicData>
                  </a:graphic>
                </wp:inline>
              </w:drawing>
            </w:r>
            <w:r>
              <w:rPr>
                <w:b/>
                <w:bCs/>
                <w:color w:val="00274C"/>
                <w:position w:val="0"/>
                <w:sz w:val="20"/>
                <w:szCs w:val="20"/>
                <w:u w:val="none"/>
              </w:rPr>
              <w:br/>
              <w:t xml:space="preserve">Fig 2.28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2.14.3</w:t>
            </w:r>
            <w:r>
              <w:rPr>
                <w:color w:val="00274C"/>
                <w:position w:val="-2"/>
                <w:sz w:val="20"/>
                <w:szCs w:val="20"/>
                <w:u w:val="none"/>
              </w:rPr>
              <w:t xml:space="preserve"> </w:t>
            </w:r>
            <w:r>
              <w:rPr>
                <w:b/>
                <w:bCs/>
                <w:color w:val="00274C"/>
                <w:position w:val="-2"/>
                <w:sz w:val="20"/>
                <w:szCs w:val="20"/>
                <w:u w:val="none"/>
              </w:rPr>
              <w:t xml:space="preserve">Capteur de température du réfrigérant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capteur a la double fonction de thermomètre et de thermocontact.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capteur de température du réfrigérant/thermocontact </w:t>
            </w:r>
            <w:r>
              <w:rPr>
                <w:b/>
                <w:bCs/>
                <w:color w:val="00274C"/>
                <w:position w:val="-2"/>
                <w:sz w:val="20"/>
                <w:szCs w:val="20"/>
                <w:u w:val="none"/>
              </w:rPr>
              <w:t xml:space="preserve">P</w:t>
            </w:r>
            <w:r>
              <w:rPr>
                <w:color w:val="00274C"/>
                <w:position w:val="-2"/>
                <w:sz w:val="20"/>
                <w:szCs w:val="20"/>
                <w:u w:val="none"/>
              </w:rPr>
              <w:t xml:space="preserve"> est fixé sur la culasse du moteur du côté de la vanne thermostatique.</w:t>
            </w:r>
            <w:r>
              <w:rPr>
                <w:color w:val="00274C"/>
                <w:position w:val="-2"/>
                <w:sz w:val="20"/>
                <w:szCs w:val="20"/>
                <w:u w:val="none"/>
              </w:rPr>
              <w:br/>
              <w:t xml:space="preserve">Sur le moteur, le capteur P1 ou P2 peut être monté </w:t>
            </w:r>
            <w:r>
              <w:rPr>
                <w:b/>
                <w:bCs/>
                <w:color w:val="00274C"/>
                <w:position w:val="-2"/>
                <w:sz w:val="20"/>
                <w:szCs w:val="20"/>
                <w:u w:val="none"/>
              </w:rPr>
              <w:t xml:space="preserve">(Fig. 2.29):</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P1</w:t>
            </w:r>
            <w:r>
              <w:rPr>
                <w:color w:val="00274C"/>
                <w:position w:val="-2"/>
                <w:sz w:val="20"/>
                <w:szCs w:val="20"/>
                <w:u w:val="none"/>
              </w:rPr>
              <w:t xml:space="preserve"> Caractéristiques indiquées dans le </w:t>
            </w:r>
            <w:r>
              <w:rPr>
                <w:b/>
                <w:bCs/>
                <w:color w:val="00274C"/>
                <w:position w:val="-2"/>
                <w:sz w:val="20"/>
                <w:szCs w:val="20"/>
                <w:u w:val="none"/>
              </w:rPr>
              <w:t xml:space="preserve">Tab. 2.33A</w:t>
            </w:r>
            <w:r>
              <w:rPr>
                <w:color w:val="00274C"/>
                <w:position w:val="-2"/>
                <w:sz w:val="20"/>
                <w:szCs w:val="20"/>
                <w:u w:val="none"/>
              </w:rPr>
              <w:t xml:space="preserve"> (connecteur bleu).
</w:t>
            </w:r>
          </w:p>
          <w:p>
            <w:pPr>
              <w:widowControl w:val="on"/>
              <w:pBdr/>
              <w:spacing w:before="0" w:after="0" w:line="262" w:lineRule="auto"/>
              <w:ind w:left="0" w:right="0"/>
              <w:jc w:val="left"/>
              <w:textAlignment w:val="center"/>
            </w:pPr>
            <w:r>
              <w:rPr>
                <w:color w:val="00274C"/>
                <w:position w:val="-2"/>
                <w:sz w:val="20"/>
                <w:szCs w:val="20"/>
                <w:u w:val="none"/>
              </w:rPr>
              <w:t xml:space="preserve">Thermocontact N/O avec température de fermeture +110 °C ±3 °C, réouverture +88 °C / +100 °C.</w:t>
            </w:r>
            <w:r>
              <w:rPr>
                <w:b/>
                <w:bCs/>
                <w:color w:val="00274C"/>
                <w:position w:val="-2"/>
                <w:sz w:val="20"/>
                <w:szCs w:val="20"/>
                <w:u w:val="none"/>
              </w:rPr>
              <w:br/>
              <w:t xml:space="preserve">P2</w:t>
            </w:r>
            <w:r>
              <w:rPr>
                <w:color w:val="00274C"/>
                <w:position w:val="-2"/>
                <w:sz w:val="20"/>
                <w:szCs w:val="20"/>
                <w:u w:val="none"/>
              </w:rPr>
              <w:t xml:space="preserve"> Caractéristiques indiquées dans le </w:t>
            </w:r>
            <w:r>
              <w:rPr>
                <w:b/>
                <w:bCs/>
                <w:color w:val="00274C"/>
                <w:position w:val="-2"/>
                <w:sz w:val="20"/>
                <w:szCs w:val="20"/>
                <w:u w:val="none"/>
              </w:rPr>
              <w:t xml:space="preserve">Tab. 2.33B</w:t>
            </w:r>
            <w:r>
              <w:rPr>
                <w:color w:val="00274C"/>
                <w:position w:val="-2"/>
                <w:sz w:val="20"/>
                <w:szCs w:val="20"/>
                <w:u w:val="none"/>
              </w:rPr>
              <w:t xml:space="preserve"> (connecteur blanc).</w:t>
            </w:r>
          </w:p>
          <w:p>
            <w:pPr>
              <w:widowControl w:val="on"/>
              <w:pBdr/>
              <w:spacing w:before="0" w:after="0" w:line="262" w:lineRule="auto"/>
              <w:ind w:left="0" w:right="0"/>
              <w:jc w:val="left"/>
              <w:textAlignment w:val="center"/>
            </w:pPr>
            <w:r>
              <w:rPr>
                <w:color w:val="00274C"/>
                <w:position w:val="-2"/>
                <w:sz w:val="20"/>
                <w:szCs w:val="20"/>
                <w:u w:val="none"/>
              </w:rPr>
              <w:t xml:space="preserve">Thermocontact N/O avec température de fermeture +110 °C ±3 °C, réouverture +88 °C / +100 °C.</w:t>
            </w:r>
          </w:p>
          <w:p/>
          <w:p/>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 </w:t>
            </w:r>
            <w:r>
              <w:rPr>
                <w:b/>
                <w:bCs/>
                <w:color w:val="00274C"/>
                <w:position w:val="-2"/>
                <w:sz w:val="20"/>
                <w:szCs w:val="20"/>
                <w:u w:val="none"/>
              </w:rPr>
              <w:t xml:space="preserve">R</w:t>
            </w:r>
            <w:r>
              <w:rPr>
                <w:color w:val="00274C"/>
                <w:position w:val="-2"/>
                <w:sz w:val="20"/>
                <w:szCs w:val="20"/>
                <w:u w:val="none"/>
              </w:rPr>
              <w:t xml:space="preserve"> indique la broche où il est possible de mesurer la résistance électrique.</w:t>
            </w:r>
            <w:r>
              <w:rPr>
                <w:color w:val="00274C"/>
                <w:position w:val="-2"/>
                <w:sz w:val="20"/>
                <w:szCs w:val="20"/>
                <w:u w:val="none"/>
              </w:rPr>
              <w:b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Tab 2.33A</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CARACTÉRISTIQUES DU CAPTEUR P1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Temperatura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53.983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73.806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39.229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52.941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18.006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20.825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7.095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8.929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0.520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0.589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0.188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0.084</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2.33B</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CARACTÉRISTIQUES DU CAPTEUR P2</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Temperatura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11.835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15.724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8.258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10.834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4.753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414,1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493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151,7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56,11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24,29</w:t>
                  </w:r>
                </w:p>
              </w:tc>
            </w:tr>
          </w:tbl>
          <w:p/>
        </w:tc>
        <w:tc>
          <w:tcPr>
            <w:tcW w:w="0" w:type="auto"/>
            <w:tcMar>
              <w:top w:w="150" w:type="dxa"/>
              <w:left w:w="150" w:type="dxa"/>
              <w:bottom w:w="150" w:type="dxa"/>
              <w:right w:w="150" w:type="dxa"/>
            </w:tcMar>
            <w:vAlign w:val="top"/>
          </w:tcPr>
          <w:p>
            <w:r>
              <w:rPr>
                <w:position w:val="-226"/>
              </w:rPr>
              <w:drawing>
                <wp:inline distT="0" distB="0" distL="0" distR="0">
                  <wp:extent cx="2232000" cy="1483200"/>
                  <wp:effectExtent b="0" l="0" r="0" t="0"/>
                  <wp:docPr id="32644508" name="name82886a9e7450e14a0" descr="2.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6.png"/>
                          <pic:cNvPicPr/>
                        </pic:nvPicPr>
                        <pic:blipFill>
                          <a:blip r:embed="rId46996a9e7450e149d"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2.29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2.14.4 Interrupteur d'obstruction du filtre à air</w:t>
            </w:r>
            <w:r>
              <w:rPr>
                <w:b/>
                <w:bCs/>
                <w:color w:val="00274C"/>
                <w:position w:val="-2"/>
                <w:sz w:val="20"/>
                <w:szCs w:val="20"/>
                <w:u w:val="none"/>
              </w:rPr>
              <w:br/>
              <w:br/>
              <w:t xml:space="preserve">REMARQUE</w:t>
            </w:r>
            <w:r>
              <w:rPr>
                <w:color w:val="00274C"/>
                <w:position w:val="-2"/>
                <w:sz w:val="20"/>
                <w:szCs w:val="20"/>
                <w:u w:val="none"/>
              </w:rPr>
              <w:t xml:space="preserve"> : Composant pas nécessairement fourni par </w:t>
            </w:r>
            <w:r>
              <w:rPr>
                <w:b/>
                <w:bCs/>
                <w:color w:val="00274C"/>
                <w:position w:val="-2"/>
                <w:sz w:val="20"/>
                <w:szCs w:val="20"/>
                <w:u w:val="none"/>
              </w:rPr>
              <w:t xml:space="preserve">KOHLER</w:t>
            </w:r>
            <w:r>
              <w:rPr>
                <w:color w:val="00274C"/>
                <w:position w:val="-2"/>
                <w:sz w:val="20"/>
                <w:szCs w:val="20"/>
                <w:u w:val="none"/>
              </w:rPr>
              <w:t xml:space="preserve"> .</w:t>
            </w:r>
            <w:r>
              <w:rPr>
                <w:color w:val="00274C"/>
                <w:position w:val="-2"/>
                <w:sz w:val="20"/>
                <w:szCs w:val="20"/>
                <w:u w:val="none"/>
              </w:rPr>
              <w:br/>
              <w:br/>
              <w:t xml:space="preserve">L'interrupteur est monté sur le filtre à air ; quand le filtre est encrassé, il envoie le signal au tableau.</w:t>
            </w:r>
            <w:r>
              <w:rPr>
                <w:color w:val="00274C"/>
                <w:position w:val="-2"/>
                <w:sz w:val="20"/>
                <w:szCs w:val="20"/>
                <w:u w:val="none"/>
              </w:rPr>
              <w:br/>
              <w:br/>
              <w:br/>
              <w:br/>
              <w:t xml:space="preserve">Ses caractéristiques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Température d'exercice : -30 °C / +100 °C</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Contact normalement ouvert</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Fermeture du contact par dépression : -50 mbar.</w:t>
            </w:r>
          </w:p>
        </w:tc>
        <w:tc>
          <w:tcPr>
            <w:tcW w:w="0" w:type="auto"/>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position w:val="-518"/>
              </w:rPr>
              <w:drawing>
                <wp:inline distT="0" distB="0" distL="0" distR="0">
                  <wp:extent cx="4824000" cy="3297600"/>
                  <wp:effectExtent b="0" l="0" r="0" t="0"/>
                  <wp:docPr id="30439167" name="name39946a9e7450ee3e2" descr="Fig._2.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0.jpg"/>
                          <pic:cNvPicPr/>
                        </pic:nvPicPr>
                        <pic:blipFill>
                          <a:blip r:embed="rId77186a9e7450ee3de" cstate="print"/>
                          <a:stretch>
                            <a:fillRect/>
                          </a:stretch>
                        </pic:blipFill>
                        <pic:spPr>
                          <a:xfrm>
                            <a:off x="0" y="0"/>
                            <a:ext cx="4824000" cy="329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Composants électriques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2.15.1 Alternateur (A)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Extérieur commandé par le vilebrequin par l'intermédiaire d'une courroie.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Caractéristiques: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Ampère: 55 A. (80 A en option)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(100A avec courroie Poly-V en option)</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Volt 12V</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194"/>
              </w:rPr>
              <w:drawing>
                <wp:inline distT="0" distB="0" distL="0" distR="0">
                  <wp:extent cx="2880000" cy="1281600"/>
                  <wp:effectExtent b="0" l="0" r="0" t="0"/>
                  <wp:docPr id="10384585" name="name30556a9e745108be0" descr="2.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1.jpg"/>
                          <pic:cNvPicPr/>
                        </pic:nvPicPr>
                        <pic:blipFill>
                          <a:blip r:embed="rId61486a9e745108bdc" cstate="print"/>
                          <a:stretch>
                            <a:fillRect/>
                          </a:stretch>
                        </pic:blipFill>
                        <pic:spPr>
                          <a:xfrm>
                            <a:off x="0" y="0"/>
                            <a:ext cx="2880000" cy="1281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2.31</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2.15.2 Démarreur (C)</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Type Bosch 12 V</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Puissance 2 kW</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Sens de rotation antihoraire (vue du côté distribution</w:t>
            </w:r>
          </w:p>
        </w:tc>
        <w:tc>
          <w:tcPr>
            <w:tcW w:w="0" w:type="auto"/>
            <w:tcMar>
              <w:top w:w="150" w:type="dxa"/>
              <w:left w:w="150" w:type="dxa"/>
              <w:bottom w:w="150" w:type="dxa"/>
              <w:right w:w="150" w:type="dxa"/>
            </w:tcMar>
            <w:vAlign w:val="top"/>
          </w:tcPr>
          <w:p>
            <w:r>
              <w:rPr>
                <w:position w:val="-246"/>
              </w:rPr>
              <w:drawing>
                <wp:inline distT="0" distB="0" distL="0" distR="0">
                  <wp:extent cx="2383200" cy="1605600"/>
                  <wp:effectExtent b="0" l="0" r="0" t="0"/>
                  <wp:docPr id="72033917" name="name37776a9e745116079" descr="Fig._2.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2.jpg"/>
                          <pic:cNvPicPr/>
                        </pic:nvPicPr>
                        <pic:blipFill>
                          <a:blip r:embed="rId20286a9e745116075" cstate="print"/>
                          <a:stretch>
                            <a:fillRect/>
                          </a:stretch>
                        </pic:blipFill>
                        <pic:spPr>
                          <a:xfrm>
                            <a:off x="0" y="0"/>
                            <a:ext cx="2383200" cy="1605600"/>
                          </a:xfrm>
                          <a:prstGeom prst="rect">
                            <a:avLst/>
                          </a:prstGeom>
                          <a:ln w="0">
                            <a:noFill/>
                          </a:ln>
                        </pic:spPr>
                      </pic:pic>
                    </a:graphicData>
                  </a:graphic>
                </wp:inline>
              </w:drawing>
            </w:r>
            <w:r>
              <w:rPr>
                <w:b/>
                <w:bCs/>
                <w:color w:val="00274C"/>
                <w:position w:val="0"/>
                <w:sz w:val="20"/>
                <w:szCs w:val="20"/>
                <w:u w:val="none"/>
              </w:rPr>
              <w:br/>
              <w:t xml:space="preserve">Fig 2.32</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2.15.3 Dispositif de démarrage à froid</w:t>
            </w:r>
            <w:r>
              <w:rPr>
                <w:color w:val="00274C"/>
                <w:position w:val="-2"/>
                <w:sz w:val="20"/>
                <w:szCs w:val="20"/>
                <w:u w:val="none"/>
              </w:rPr>
              <w:br/>
              <w:br/>
              <w:t xml:space="preserve">Le dispositif de démarrage à froid est constitué d'une résistance, gérée par l'ECU, qui est activée lorsque la température ambiante est ≤ -20°C. L'air admis est chauffé par la résistance et facilite le démarrage du moteur.</w:t>
            </w:r>
            <w:r>
              <w:rPr>
                <w:color w:val="00274C"/>
                <w:position w:val="-2"/>
                <w:sz w:val="20"/>
                <w:szCs w:val="20"/>
                <w:u w:val="none"/>
              </w:rPr>
              <w:br/>
              <w:br/>
              <w:br/>
              <w:br/>
              <w:t xml:space="preserve">Caractéristiques: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Type Hidria AET 12 V</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Puissance 550 W</w:t>
            </w:r>
          </w:p>
          <w:p>
            <w:pPr>
              <w:widowControl w:val="on"/>
              <w:pBdr/>
              <w:spacing w:before="0" w:after="0" w:line="262" w:lineRule="auto"/>
              <w:ind w:left="0" w:right="0"/>
              <w:jc w:val="left"/>
              <w:textAlignment w:val="center"/>
            </w:pPr>
            <w:r>
              <w:rPr>
                <w:color w:val="00274C"/>
                <w:position w:val="-2"/>
                <w:sz w:val="20"/>
                <w:szCs w:val="20"/>
                <w:u w:val="none"/>
              </w:rPr>
              <w:t xml:space="preserve">Characteristics pre-heater timer: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Tipo Hidria GH + CSA 12 V</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49569263" name="name69746a9e745123bf8" descr="2.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3.jpg"/>
                          <pic:cNvPicPr/>
                        </pic:nvPicPr>
                        <pic:blipFill>
                          <a:blip r:embed="rId23116a9e745123bf4"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2.33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2.15.4     Pompe électrique (option)</w:t>
            </w:r>
          </w:p>
          <w:p>
            <w:pPr>
              <w:widowControl w:val="on"/>
              <w:pBdr/>
              <w:spacing w:before="0" w:after="0" w:line="262" w:lineRule="auto"/>
              <w:ind w:left="0" w:right="0"/>
              <w:jc w:val="left"/>
              <w:textAlignment w:val="center"/>
            </w:pPr>
            <w:r>
              <w:rPr>
                <w:b/>
                <w:bCs/>
                <w:color w:val="00274C"/>
                <w:position w:val="-2"/>
                <w:sz w:val="20"/>
                <w:szCs w:val="20"/>
                <w:u w:val="none"/>
              </w:rPr>
              <w:br/>
              <w:br/>
              <w:t xml:space="preserve">REMARQUE :</w:t>
            </w:r>
            <w:r>
              <w:rPr>
                <w:color w:val="00274C"/>
                <w:position w:val="-2"/>
                <w:sz w:val="20"/>
                <w:szCs w:val="20"/>
                <w:u w:val="none"/>
              </w:rPr>
              <w:t xml:space="preserve"> Composant pas nécessairement fourni par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color w:val="00274C"/>
                <w:position w:val="-2"/>
                <w:sz w:val="20"/>
                <w:szCs w:val="20"/>
                <w:u w:val="none"/>
              </w:rPr>
              <w:br/>
              <w:br/>
              <w:t xml:space="preserve">La pompe électrique est située avant le filtre à carburant, l'une des pompes </w:t>
            </w:r>
            <w:r>
              <w:rPr>
                <w:b/>
                <w:bCs/>
                <w:color w:val="00274C"/>
                <w:position w:val="-2"/>
                <w:sz w:val="20"/>
                <w:szCs w:val="20"/>
                <w:u w:val="none"/>
              </w:rPr>
              <w:t xml:space="preserve">A1 - A2 - A3 - A4</w:t>
            </w:r>
            <w:r>
              <w:rPr>
                <w:color w:val="00274C"/>
                <w:position w:val="-2"/>
                <w:sz w:val="20"/>
                <w:szCs w:val="20"/>
                <w:u w:val="none"/>
              </w:rPr>
              <w:t xml:space="preserve"> peut être montée.</w:t>
            </w:r>
            <w:r>
              <w:rPr>
                <w:color w:val="00274C"/>
                <w:position w:val="-2"/>
                <w:sz w:val="20"/>
                <w:szCs w:val="20"/>
                <w:u w:val="none"/>
              </w:rPr>
              <w:br/>
              <w:t xml:space="preserve">Le  </w:t>
            </w:r>
            <w:r>
              <w:rPr>
                <w:b/>
                <w:bCs/>
                <w:color w:val="00274C"/>
                <w:position w:val="-2"/>
                <w:sz w:val="20"/>
                <w:szCs w:val="20"/>
                <w:u w:val="none"/>
              </w:rPr>
              <w:t xml:space="preserve">Tab. 2.34 a-b-c-d</w:t>
            </w:r>
            <w:r>
              <w:rPr>
                <w:color w:val="00274C"/>
                <w:position w:val="-2"/>
                <w:sz w:val="20"/>
                <w:szCs w:val="20"/>
                <w:u w:val="none"/>
              </w:rPr>
              <w:t xml:space="preserve">   indique les caractéristiques des pompes.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Tab 2.34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Connexion électrique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Préfiltre de la pompe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 en entrée ( </w:t>
                  </w:r>
                  <w:r>
                    <w:rPr>
                      <w:b/>
                      <w:bCs/>
                      <w:color w:val="00274C"/>
                      <w:position w:val="-2"/>
                      <w:sz w:val="20"/>
                      <w:szCs w:val="20"/>
                      <w:u w:val="none"/>
                      <w:shd w:val="clear" w:color="auto" w:fill="E1E2E0"/>
                    </w:rPr>
                    <w:t xml:space="preserve">IN</w:t>
                  </w:r>
                  <w:r>
                    <w:rPr>
                      <w:color w:val="00274C"/>
                      <w:position w:val="-2"/>
                      <w:sz w:val="20"/>
                      <w:szCs w:val="20"/>
                      <w:u w:val="none"/>
                      <w:shd w:val="clear" w:color="auto" w:fill="E1E2E0"/>
                    </w:rPr>
                    <w:t xml:space="preserve"> ) du réservoir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OUT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 en sortie ( </w:t>
                  </w:r>
                  <w:r>
                    <w:rPr>
                      <w:b/>
                      <w:bCs/>
                      <w:color w:val="00274C"/>
                      <w:position w:val="-2"/>
                      <w:sz w:val="20"/>
                      <w:szCs w:val="20"/>
                      <w:u w:val="none"/>
                      <w:shd w:val="clear" w:color="auto" w:fill="E1E2E0"/>
                    </w:rPr>
                    <w:t xml:space="preserve">OUT</w:t>
                  </w:r>
                  <w:r>
                    <w:rPr>
                      <w:color w:val="00274C"/>
                      <w:position w:val="-2"/>
                      <w:sz w:val="20"/>
                      <w:szCs w:val="20"/>
                      <w:u w:val="none"/>
                      <w:shd w:val="clear" w:color="auto" w:fill="E1E2E0"/>
                    </w:rPr>
                    <w:t xml:space="preserve"> ) au filtre à carburant</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2.34 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Voltaggio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12 - 24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Portata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L/h @ 0.44 - 0.56 bar</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2.34 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A2</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Voltaggio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Portata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60.56 L/h @ 0.41 bar</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2.34 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A3</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Voltaggio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Portata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 L/h @ 0.1 bar</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2.34 d</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A4</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Voltaggio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Portata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L/h @ 0.4 bar</w:t>
                  </w:r>
                </w:p>
              </w:tc>
            </w:tr>
          </w:tbl>
          <w:p/>
          <w:p/>
          <w:p/>
          <w:p/>
          <w:p/>
          <w:p/>
          <w:p/>
          <w:p/>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42"/>
              </w:rPr>
              <w:drawing>
                <wp:inline distT="0" distB="0" distL="0" distR="0">
                  <wp:extent cx="2340000" cy="1576800"/>
                  <wp:effectExtent b="0" l="0" r="0" t="0"/>
                  <wp:docPr id="33937044" name="name74996a9e745135917" descr="Fig._2.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4.jpg"/>
                          <pic:cNvPicPr/>
                        </pic:nvPicPr>
                        <pic:blipFill>
                          <a:blip r:embed="rId24406a9e745135914" cstate="print"/>
                          <a:stretch>
                            <a:fillRect/>
                          </a:stretch>
                        </pic:blipFill>
                        <pic:spPr>
                          <a:xfrm>
                            <a:off x="0" y="0"/>
                            <a:ext cx="2340000" cy="15768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2.34</w:t>
            </w:r>
          </w:p>
          <w:p/>
          <w:p/>
          <w:p>
            <w:pPr>
              <w:widowControl w:val="on"/>
              <w:pBdr/>
              <w:spacing w:before="0" w:after="0" w:line="262" w:lineRule="auto"/>
              <w:ind w:left="0" w:right="0"/>
              <w:jc w:val="left"/>
              <w:textAlignment w:val="top"/>
            </w:pPr>
            <w:r>
              <w:rPr>
                <w:position w:val="-162"/>
              </w:rPr>
              <w:drawing>
                <wp:inline distT="0" distB="0" distL="0" distR="0">
                  <wp:extent cx="2332800" cy="1087200"/>
                  <wp:effectExtent b="0" l="0" r="0" t="0"/>
                  <wp:docPr id="14454223" name="name69126a9e74513b691" descr="Fig._2.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5.jpg"/>
                          <pic:cNvPicPr/>
                        </pic:nvPicPr>
                        <pic:blipFill>
                          <a:blip r:embed="rId87336a9e74513b68e" cstate="print"/>
                          <a:stretch>
                            <a:fillRect/>
                          </a:stretch>
                        </pic:blipFill>
                        <pic:spPr>
                          <a:xfrm>
                            <a:off x="0" y="0"/>
                            <a:ext cx="2332800" cy="1087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2.35</w:t>
            </w:r>
          </w:p>
          <w:p/>
          <w:p/>
          <w:p>
            <w:pPr>
              <w:widowControl w:val="on"/>
              <w:pBdr/>
              <w:spacing w:before="0" w:after="0" w:line="262" w:lineRule="auto"/>
              <w:ind w:left="0" w:right="0"/>
              <w:jc w:val="left"/>
              <w:textAlignment w:val="top"/>
            </w:pPr>
            <w:r>
              <w:rPr>
                <w:position w:val="-142"/>
              </w:rPr>
              <w:drawing>
                <wp:inline distT="0" distB="0" distL="0" distR="0">
                  <wp:extent cx="2325600" cy="964800"/>
                  <wp:effectExtent b="0" l="0" r="0" t="0"/>
                  <wp:docPr id="16749213" name="name97656a9e7451437f4" descr="Fig._2.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6.jpg"/>
                          <pic:cNvPicPr/>
                        </pic:nvPicPr>
                        <pic:blipFill>
                          <a:blip r:embed="rId69406a9e7451437f1" cstate="print"/>
                          <a:stretch>
                            <a:fillRect/>
                          </a:stretch>
                        </pic:blipFill>
                        <pic:spPr>
                          <a:xfrm>
                            <a:off x="0" y="0"/>
                            <a:ext cx="2325600" cy="96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2.36</w:t>
            </w:r>
          </w:p>
          <w:p/>
          <w:p/>
          <w:p>
            <w:pPr>
              <w:widowControl w:val="on"/>
              <w:pBdr/>
              <w:spacing w:before="0" w:after="0" w:line="262" w:lineRule="auto"/>
              <w:ind w:left="0" w:right="0"/>
              <w:jc w:val="left"/>
              <w:textAlignment w:val="top"/>
            </w:pPr>
            <w:r>
              <w:rPr>
                <w:position w:val="-178"/>
              </w:rPr>
              <w:drawing>
                <wp:inline distT="0" distB="0" distL="0" distR="0">
                  <wp:extent cx="2232000" cy="1188000"/>
                  <wp:effectExtent b="0" l="0" r="0" t="0"/>
                  <wp:docPr id="11542066" name="name15746a9e745149fdb" descr="Fig.2.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37.jpg"/>
                          <pic:cNvPicPr/>
                        </pic:nvPicPr>
                        <pic:blipFill>
                          <a:blip r:embed="rId70336a9e745149fd8" cstate="print"/>
                          <a:stretch>
                            <a:fillRect/>
                          </a:stretch>
                        </pic:blipFill>
                        <pic:spPr>
                          <a:xfrm>
                            <a:off x="0" y="0"/>
                            <a:ext cx="2232000" cy="1188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w:t>
            </w:r>
          </w:p>
          <w:p/>
          <w:p/>
          <w:p>
            <w:pPr>
              <w:widowControl w:val="on"/>
              <w:pBdr/>
              <w:spacing w:before="0" w:after="0" w:line="262" w:lineRule="auto"/>
              <w:ind w:left="0" w:right="0"/>
              <w:jc w:val="left"/>
              <w:textAlignment w:val="top"/>
            </w:pPr>
            <w:r>
              <w:rPr>
                <w:position w:val="-178"/>
              </w:rPr>
              <w:drawing>
                <wp:inline distT="0" distB="0" distL="0" distR="0">
                  <wp:extent cx="2217600" cy="1180800"/>
                  <wp:effectExtent b="0" l="0" r="0" t="0"/>
                  <wp:docPr id="77212138" name="name45076a9e74515408d" descr="Fig._2.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8.jpg"/>
                          <pic:cNvPicPr/>
                        </pic:nvPicPr>
                        <pic:blipFill>
                          <a:blip r:embed="rId75326a9e74515408a" cstate="print"/>
                          <a:stretch>
                            <a:fillRect/>
                          </a:stretch>
                        </pic:blipFill>
                        <pic:spPr>
                          <a:xfrm>
                            <a:off x="0" y="0"/>
                            <a:ext cx="2217600" cy="1180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2.15.5 Cold start advance</w:t>
            </w:r>
          </w:p>
          <w:p/>
          <w:p/>
          <w:p>
            <w:pPr>
              <w:widowControl w:val="on"/>
              <w:pBdr/>
              <w:spacing w:before="0" w:after="0" w:line="262" w:lineRule="auto"/>
              <w:ind w:left="0" w:right="0"/>
              <w:jc w:val="left"/>
              <w:textAlignment w:val="center"/>
            </w:pPr>
            <w:r>
              <w:rPr>
                <w:color w:val="00274C"/>
                <w:position w:val="-2"/>
                <w:sz w:val="20"/>
                <w:szCs w:val="20"/>
                <w:u w:val="none"/>
              </w:rPr>
              <w:br/>
              <w:t xml:space="preserve">Le dispositif Cold Start Advance </w:t>
            </w:r>
            <w:r>
              <w:rPr>
                <w:b/>
                <w:bCs/>
                <w:color w:val="00274C"/>
                <w:position w:val="-2"/>
                <w:sz w:val="20"/>
                <w:szCs w:val="20"/>
                <w:u w:val="none"/>
              </w:rPr>
              <w:t xml:space="preserve">E</w:t>
            </w:r>
            <w:r>
              <w:rPr>
                <w:color w:val="00274C"/>
                <w:position w:val="-2"/>
                <w:sz w:val="20"/>
                <w:szCs w:val="20"/>
                <w:u w:val="none"/>
              </w:rPr>
              <w:t xml:space="preserve"> fait partie de la pompe à injection </w:t>
            </w:r>
            <w:r>
              <w:rPr>
                <w:b/>
                <w:bCs/>
                <w:color w:val="00274C"/>
                <w:position w:val="-2"/>
                <w:sz w:val="20"/>
                <w:szCs w:val="20"/>
                <w:u w:val="none"/>
              </w:rPr>
              <w:t xml:space="preserve">D</w:t>
            </w:r>
            <w:r>
              <w:rPr>
                <w:color w:val="00274C"/>
                <w:position w:val="-2"/>
                <w:sz w:val="20"/>
                <w:szCs w:val="20"/>
                <w:u w:val="none"/>
              </w:rPr>
              <w:t xml:space="preserve"> , il pourvoit à la modification d'avance de l'injection pour faciliter le démarrage du moteur à basse température.</w:t>
            </w:r>
          </w:p>
          <w:p>
            <w:pPr>
              <w:widowControl w:val="on"/>
              <w:pBdr/>
              <w:spacing w:before="0" w:after="0" w:line="262" w:lineRule="auto"/>
              <w:ind w:left="0" w:right="0"/>
              <w:jc w:val="left"/>
              <w:textAlignment w:val="center"/>
            </w:pPr>
            <w:r>
              <w:rPr>
                <w:color w:val="00274C"/>
                <w:position w:val="-2"/>
                <w:sz w:val="20"/>
                <w:szCs w:val="20"/>
                <w:u w:val="none"/>
              </w:rPr>
              <w:t xml:space="preserve">Le dispositif est commandé par l'unité de contrôle </w:t>
            </w:r>
            <w:r>
              <w:rPr>
                <w:b/>
                <w:bCs/>
                <w:color w:val="00274C"/>
                <w:position w:val="-2"/>
                <w:sz w:val="20"/>
                <w:szCs w:val="20"/>
                <w:u w:val="none"/>
              </w:rPr>
              <w:t xml:space="preserve">H</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30"/>
              </w:rPr>
              <w:drawing>
                <wp:inline distT="0" distB="0" distL="0" distR="0">
                  <wp:extent cx="2232000" cy="1504800"/>
                  <wp:effectExtent b="0" l="0" r="0" t="0"/>
                  <wp:docPr id="44799739" name="name83906a9e745160481" descr="Fig._2.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9.jpg"/>
                          <pic:cNvPicPr/>
                        </pic:nvPicPr>
                        <pic:blipFill>
                          <a:blip r:embed="rId95786a9e74516047d" cstate="print"/>
                          <a:stretch>
                            <a:fillRect/>
                          </a:stretch>
                        </pic:blipFill>
                        <pic:spPr>
                          <a:xfrm>
                            <a:off x="0" y="0"/>
                            <a:ext cx="2232000" cy="150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2.39a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2.15.6 Elettro-Stop</w:t>
            </w:r>
          </w:p>
          <w:p/>
          <w:p/>
          <w:p>
            <w:pPr>
              <w:widowControl w:val="on"/>
              <w:pBdr/>
              <w:spacing w:before="0" w:after="0" w:line="262" w:lineRule="auto"/>
              <w:ind w:left="0" w:right="0"/>
              <w:jc w:val="left"/>
              <w:textAlignment w:val="center"/>
            </w:pPr>
            <w:r>
              <w:rPr>
                <w:color w:val="00274C"/>
                <w:position w:val="-2"/>
                <w:sz w:val="20"/>
                <w:szCs w:val="20"/>
                <w:u w:val="none"/>
              </w:rPr>
              <w:br/>
              <w:t xml:space="preserve">Le dispositif elettro-stop </w:t>
            </w:r>
            <w:r>
              <w:rPr>
                <w:b/>
                <w:bCs/>
                <w:color w:val="00274C"/>
                <w:position w:val="-2"/>
                <w:sz w:val="20"/>
                <w:szCs w:val="20"/>
                <w:u w:val="none"/>
              </w:rPr>
              <w:t xml:space="preserve">F</w:t>
            </w:r>
            <w:r>
              <w:rPr>
                <w:color w:val="00274C"/>
                <w:position w:val="-2"/>
                <w:sz w:val="20"/>
                <w:szCs w:val="20"/>
                <w:u w:val="none"/>
              </w:rPr>
              <w:t xml:space="preserve"> fait partie de la pompe à injection </w:t>
            </w:r>
            <w:r>
              <w:rPr>
                <w:b/>
                <w:bCs/>
                <w:color w:val="00274C"/>
                <w:position w:val="-2"/>
                <w:sz w:val="20"/>
                <w:szCs w:val="20"/>
                <w:u w:val="none"/>
              </w:rPr>
              <w:t xml:space="preserve">D</w:t>
            </w:r>
            <w:r>
              <w:rPr>
                <w:color w:val="00274C"/>
                <w:position w:val="-2"/>
                <w:sz w:val="20"/>
                <w:szCs w:val="20"/>
                <w:u w:val="none"/>
              </w:rPr>
              <w:t xml:space="preserve"> , il pourvoit à l'extinction du moteur en bloquant le débit de carburant à l'entrée de la pompe </w:t>
            </w:r>
            <w:r>
              <w:rPr>
                <w:b/>
                <w:bCs/>
                <w:color w:val="00274C"/>
                <w:position w:val="-2"/>
                <w:sz w:val="20"/>
                <w:szCs w:val="20"/>
                <w:u w:val="none"/>
              </w:rPr>
              <w:t xml:space="preserve">D</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  </w:t>
            </w:r>
            <w:r>
              <w:rPr>
                <w:position w:val="-230"/>
              </w:rPr>
              <w:drawing>
                <wp:inline distT="0" distB="0" distL="0" distR="0">
                  <wp:extent cx="2232000" cy="1504800"/>
                  <wp:effectExtent b="0" l="0" r="0" t="0"/>
                  <wp:docPr id="17243952" name="name40106a9e74516fb05" descr="Fig._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0.jpg"/>
                          <pic:cNvPicPr/>
                        </pic:nvPicPr>
                        <pic:blipFill>
                          <a:blip r:embed="rId90826a9e74516fb00" cstate="print"/>
                          <a:stretch>
                            <a:fillRect/>
                          </a:stretch>
                        </pic:blipFill>
                        <pic:spPr>
                          <a:xfrm>
                            <a:off x="0" y="0"/>
                            <a:ext cx="2232000" cy="150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2.39b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2.15.7 Unité de contrôle de démarrage</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dispositif </w:t>
            </w:r>
            <w:r>
              <w:rPr>
                <w:b/>
                <w:bCs/>
                <w:color w:val="00274C"/>
                <w:position w:val="-2"/>
                <w:sz w:val="20"/>
                <w:szCs w:val="20"/>
                <w:u w:val="none"/>
              </w:rPr>
              <w:t xml:space="preserve">H</w:t>
            </w:r>
            <w:r>
              <w:rPr>
                <w:color w:val="00274C"/>
                <w:position w:val="-2"/>
                <w:sz w:val="20"/>
                <w:szCs w:val="20"/>
                <w:u w:val="none"/>
              </w:rPr>
              <w:t xml:space="preserve"> favorise l'allumage du moteur à froid, en commandant le « dispositif allumage à froid » ( </w:t>
            </w:r>
            <w:r>
              <w:rPr>
                <w:b/>
                <w:bCs/>
                <w:color w:val="00274C"/>
                <w:position w:val="-2"/>
                <w:sz w:val="20"/>
                <w:szCs w:val="20"/>
                <w:u w:val="none"/>
              </w:rPr>
              <w:t xml:space="preserve">Heater)</w:t>
            </w:r>
            <w:r>
              <w:rPr>
                <w:color w:val="00274C"/>
                <w:position w:val="-2"/>
                <w:sz w:val="20"/>
                <w:szCs w:val="20"/>
                <w:u w:val="none"/>
              </w:rPr>
              <w:t xml:space="preserve"> et le dispositif « Cold Start Advance » ( </w:t>
            </w:r>
            <w:r>
              <w:rPr>
                <w:b/>
                <w:bCs/>
                <w:color w:val="00274C"/>
                <w:position w:val="-2"/>
                <w:sz w:val="20"/>
                <w:szCs w:val="20"/>
                <w:u w:val="none"/>
              </w:rPr>
              <w:t xml:space="preserve">CSA</w:t>
            </w:r>
            <w:r>
              <w:rPr>
                <w:color w:val="00274C"/>
                <w:position w:val="-2"/>
                <w:sz w:val="20"/>
                <w:szCs w:val="20"/>
                <w:u w:val="none"/>
              </w:rPr>
              <w:t xml:space="preserve"> ). Le </w:t>
            </w:r>
            <w:r>
              <w:rPr>
                <w:b/>
                <w:bCs/>
                <w:color w:val="00274C"/>
                <w:position w:val="-2"/>
                <w:sz w:val="20"/>
                <w:szCs w:val="20"/>
                <w:u w:val="none"/>
              </w:rPr>
              <w:t xml:space="preserve">Tab. 2.35a</w:t>
            </w:r>
            <w:r>
              <w:rPr>
                <w:color w:val="00274C"/>
                <w:position w:val="-2"/>
                <w:sz w:val="20"/>
                <w:szCs w:val="20"/>
                <w:u w:val="none"/>
              </w:rPr>
              <w:t xml:space="preserve"> indique les temps d'activation en fonction de la température ambiante.</w:t>
            </w:r>
          </w:p>
          <w:p>
            <w:pPr>
              <w:widowControl w:val="on"/>
              <w:pBdr/>
              <w:spacing w:before="0" w:after="0" w:line="262" w:lineRule="auto"/>
              <w:ind w:left="0" w:right="0"/>
              <w:jc w:val="left"/>
              <w:textAlignment w:val="center"/>
            </w:pPr>
            <w:r>
              <w:rPr>
                <w:b/>
                <w:bCs/>
                <w:color w:val="00274C"/>
                <w:position w:val="-2"/>
                <w:sz w:val="20"/>
                <w:szCs w:val="20"/>
                <w:u w:val="none"/>
              </w:rPr>
              <w:br/>
              <w:br/>
              <w:t xml:space="preserve">Tab. 2.35a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HEATER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CSA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20 ÷ -15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
                <w:p/>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w:t>
                  </w: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32''</w:t>
                  </w:r>
                </w:p>
              </w:tc>
              <w:tc>
                <w:tcPr>
                  <w:gridSpan w:val="1"/>
                  <w:vMerge w:val="continue"/>
                  <w:tcBorders>
                    <w:top w:val="single" w:color="FFFFFF" w:sz="5"/>
                    <w:left w:val="single" w:color="FFFFFF" w:sz="5"/>
                    <w:bottom w:val="single" w:color="FFFFFF" w:sz="5"/>
                    <w:right w:val="single" w:color="FFFFFF" w:sz="5"/>
                  </w:tcBorders>
                </w:tcP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2.35b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RACORDE'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Heater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50 - allumage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15 - allumage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CSA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 batterie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Masse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Indicateur sur tableau de commande</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62"/>
              </w:rPr>
              <w:drawing>
                <wp:inline distT="0" distB="0" distL="0" distR="0">
                  <wp:extent cx="2232000" cy="2944800"/>
                  <wp:effectExtent b="0" l="0" r="0" t="0"/>
                  <wp:docPr id="93389287" name="name21256a9e745185b94" descr="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0.jpg"/>
                          <pic:cNvPicPr/>
                        </pic:nvPicPr>
                        <pic:blipFill>
                          <a:blip r:embed="rId43796a9e745185b90" cstate="print"/>
                          <a:stretch>
                            <a:fillRect/>
                          </a:stretch>
                        </pic:blipFill>
                        <pic:spPr>
                          <a:xfrm>
                            <a:off x="0" y="0"/>
                            <a:ext cx="2232000" cy="294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2.40</w:t>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2.15.8 Fusibile</w:t>
            </w:r>
          </w:p>
          <w:p/>
          <w:p/>
          <w:p>
            <w:pPr>
              <w:widowControl w:val="on"/>
              <w:pBdr/>
              <w:spacing w:before="0" w:after="0" w:line="240" w:lineRule="auto"/>
              <w:ind w:left="0" w:right="0"/>
              <w:jc w:val="left"/>
            </w:pPr>
            <w:r>
              <w:rPr>
                <w:color w:val="00274C"/>
                <w:position w:val="-2"/>
                <w:sz w:val="20"/>
                <w:szCs w:val="20"/>
                <w:u w:val="none"/>
              </w:rPr>
              <w:t xml:space="preserve">
Le dispositif </w:t>
            </w:r>
            <w:r>
              <w:rPr>
                <w:b/>
                <w:bCs/>
                <w:color w:val="00274C"/>
                <w:position w:val="-2"/>
                <w:sz w:val="20"/>
                <w:szCs w:val="20"/>
                <w:u w:val="none"/>
              </w:rPr>
              <w:t xml:space="preserve">G</w:t>
            </w:r>
            <w:r>
              <w:rPr>
                <w:color w:val="00274C"/>
                <w:position w:val="-2"/>
                <w:sz w:val="20"/>
                <w:szCs w:val="20"/>
                <w:u w:val="none"/>
              </w:rPr>
              <w:t xml:space="preserve"> est monté sur la culasse </w:t>
            </w:r>
            <w:r>
              <w:rPr>
                <w:b/>
                <w:bCs/>
                <w:color w:val="00274C"/>
                <w:position w:val="-2"/>
                <w:sz w:val="20"/>
                <w:szCs w:val="20"/>
                <w:u w:val="none"/>
              </w:rPr>
              <w:t xml:space="preserve">P</w:t>
            </w:r>
            <w:r>
              <w:rPr>
                <w:color w:val="00274C"/>
                <w:position w:val="-2"/>
                <w:sz w:val="20"/>
                <w:szCs w:val="20"/>
                <w:u w:val="none"/>
              </w:rPr>
              <w:t xml:space="preserve"> (côté volant), il pourvoit à la protection du circuit électrique en cas de surcharge ou de court-circuit.</w:t>
            </w:r>
          </w:p>
          <w:p>
            <w:pPr>
              <w:widowControl w:val="on"/>
              <w:pBdr/>
              <w:spacing w:before="0" w:after="0" w:line="262" w:lineRule="auto"/>
              <w:ind w:left="0" w:right="0"/>
              <w:jc w:val="left"/>
              <w:textAlignment w:val="center"/>
            </w:pPr>
            <w:r>
              <w:rPr>
                <w:color w:val="00274C"/>
                <w:position w:val="-2"/>
                <w:sz w:val="20"/>
                <w:szCs w:val="20"/>
                <w:u w:val="none"/>
              </w:rPr>
              <w:br/>
              <w:br/>
              <w:br/>
              <w:br/>
              <w:br/>
              <w:br/>
              <w:br/>
              <w:t xml:space="preserve"> </w:t>
            </w:r>
            <w:r>
              <w:rPr>
                <w:b/>
                <w:bCs/>
                <w:color w:val="00274C"/>
                <w:position w:val="-2"/>
                <w:sz w:val="20"/>
                <w:szCs w:val="20"/>
                <w:u w:val="none"/>
              </w:rPr>
              <w:t xml:space="preserve">REMARQUE :</w:t>
            </w:r>
            <w:r>
              <w:rPr>
                <w:color w:val="00274C"/>
                <w:position w:val="-2"/>
                <w:sz w:val="20"/>
                <w:szCs w:val="20"/>
                <w:u w:val="none"/>
              </w:rPr>
              <w:t xml:space="preserve"> Composant pas nécessairement fourni par </w:t>
            </w:r>
            <w:r>
              <w:rPr>
                <w:b/>
                <w:bCs/>
                <w:color w:val="00274C"/>
                <w:position w:val="-2"/>
                <w:sz w:val="20"/>
                <w:szCs w:val="20"/>
                <w:u w:val="none"/>
              </w:rPr>
              <w:t xml:space="preserve">KOHLER.</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  </w:t>
            </w:r>
            <w:r>
              <w:rPr>
                <w:position w:val="-202"/>
              </w:rPr>
              <w:drawing>
                <wp:inline distT="0" distB="0" distL="0" distR="0">
                  <wp:extent cx="2232000" cy="1339200"/>
                  <wp:effectExtent b="0" l="0" r="0" t="0"/>
                  <wp:docPr id="88060984" name="name54196a9e7451a1c67" descr="Fig._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1.jpg"/>
                          <pic:cNvPicPr/>
                        </pic:nvPicPr>
                        <pic:blipFill>
                          <a:blip r:embed="rId58696a9e7451a1c62" cstate="print"/>
                          <a:stretch>
                            <a:fillRect/>
                          </a:stretch>
                        </pic:blipFill>
                        <pic:spPr>
                          <a:xfrm>
                            <a:off x="0" y="0"/>
                            <a:ext cx="2232000" cy="1339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2.15.9 Tableau de commande (option)</w:t>
            </w:r>
          </w:p>
          <w:p/>
          <w:p/>
          <w:p>
            <w:pPr>
              <w:widowControl w:val="on"/>
              <w:pBdr/>
              <w:spacing w:before="0" w:after="0" w:line="262" w:lineRule="auto"/>
              <w:ind w:left="0" w:right="0"/>
              <w:jc w:val="left"/>
              <w:textAlignment w:val="center"/>
            </w:pPr>
            <w:r>
              <w:rPr>
                <w:color w:val="00274C"/>
                <w:position w:val="-2"/>
                <w:sz w:val="20"/>
                <w:szCs w:val="20"/>
                <w:u w:val="none"/>
              </w:rPr>
              <w:t xml:space="preserve">Le tableau </w:t>
            </w:r>
            <w:r>
              <w:rPr>
                <w:b/>
                <w:bCs/>
                <w:color w:val="00274C"/>
                <w:position w:val="-2"/>
                <w:sz w:val="20"/>
                <w:szCs w:val="20"/>
                <w:u w:val="none"/>
              </w:rPr>
              <w:t xml:space="preserve">L</w:t>
            </w:r>
            <w:r>
              <w:rPr>
                <w:color w:val="00274C"/>
                <w:position w:val="-2"/>
                <w:sz w:val="20"/>
                <w:szCs w:val="20"/>
                <w:u w:val="none"/>
              </w:rPr>
              <w:t xml:space="preserve"> peut être monté sur le moteur ou sur la machine.</w:t>
            </w:r>
            <w:r>
              <w:rPr>
                <w:color w:val="00274C"/>
                <w:position w:val="-2"/>
                <w:sz w:val="20"/>
                <w:szCs w:val="20"/>
                <w:u w:val="none"/>
              </w:rPr>
              <w:br/>
              <w:t xml:space="preserve">Le </w:t>
            </w:r>
            <w:r>
              <w:rPr>
                <w:b/>
                <w:bCs/>
                <w:color w:val="00274C"/>
                <w:position w:val="-2"/>
                <w:sz w:val="20"/>
                <w:szCs w:val="20"/>
                <w:u w:val="none"/>
              </w:rPr>
              <w:t xml:space="preserve">Tab. 2.36</w:t>
            </w:r>
            <w:r>
              <w:rPr>
                <w:color w:val="00274C"/>
                <w:position w:val="-2"/>
                <w:sz w:val="20"/>
                <w:szCs w:val="20"/>
                <w:u w:val="none"/>
              </w:rPr>
              <w:t xml:space="preserve">  illustre ses fonctions principales.</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r>
              <w:rPr>
                <w:b/>
                <w:bCs/>
                <w:color w:val="00274C"/>
                <w:position w:val="-2"/>
                <w:sz w:val="20"/>
                <w:szCs w:val="20"/>
                <w:u w:val="none"/>
              </w:rPr>
              <w:t xml:space="preserve">REMARQUE :</w:t>
            </w:r>
            <w:r>
              <w:rPr>
                <w:color w:val="00274C"/>
                <w:position w:val="-2"/>
                <w:sz w:val="20"/>
                <w:szCs w:val="20"/>
                <w:u w:val="none"/>
              </w:rPr>
              <w:t xml:space="preserve"> Composant pas nécessairement fourni par </w:t>
            </w:r>
            <w:r>
              <w:rPr>
                <w:b/>
                <w:bCs/>
                <w:color w:val="00274C"/>
                <w:position w:val="-2"/>
                <w:sz w:val="20"/>
                <w:szCs w:val="20"/>
                <w:u w:val="none"/>
              </w:rPr>
              <w:t xml:space="preserve">KOHLER.</w:t>
            </w:r>
          </w:p>
          <w:p/>
          <w:p/>
          <w:p>
            <w:pPr>
              <w:widowControl w:val="on"/>
              <w:pBdr/>
              <w:spacing w:before="0" w:after="0" w:line="262" w:lineRule="auto"/>
              <w:ind w:left="0" w:right="0"/>
              <w:jc w:val="left"/>
              <w:textAlignment w:val="center"/>
            </w:pPr>
            <w:r>
              <w:rPr>
                <w:b/>
                <w:bCs/>
                <w:color w:val="00274C"/>
                <w:position w:val="-2"/>
                <w:sz w:val="20"/>
                <w:szCs w:val="20"/>
                <w:u w:val="none"/>
              </w:rPr>
              <w:t xml:space="preserve">Tab 2.36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Compteur horaire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Interrupteur de commande de démarrage du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Indicateur d'allumage du tableau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batterie pas en recharge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huile du moteur pas sous 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température du réfrigérant élevée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indicateur générique d'alarme</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6"/>
              </w:rPr>
              <w:drawing>
                <wp:inline distT="0" distB="0" distL="0" distR="0">
                  <wp:extent cx="2232000" cy="1670400"/>
                  <wp:effectExtent b="0" l="0" r="0" t="0"/>
                  <wp:docPr id="21937241" name="name19076a9e7451b20a1" descr="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2.jpg"/>
                          <pic:cNvPicPr/>
                        </pic:nvPicPr>
                        <pic:blipFill>
                          <a:blip r:embed="rId63856a9e7451b209c" cstate="print"/>
                          <a:stretch>
                            <a:fillRect/>
                          </a:stretch>
                        </pic:blipFill>
                        <pic:spPr>
                          <a:xfrm>
                            <a:off x="0" y="0"/>
                            <a:ext cx="2232000" cy="1670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color w:val="00274C"/>
                <w:position w:val="0"/>
                <w:sz w:val="20"/>
                <w:szCs w:val="20"/>
                <w:u w:val="none"/>
              </w:rPr>
              <w:t xml:space="preserve">  </w:t>
            </w:r>
            <w:r>
              <w:rPr>
                <w:b/>
                <w:bCs/>
                <w:color w:val="00274C"/>
                <w:position w:val="0"/>
                <w:sz w:val="20"/>
                <w:szCs w:val="20"/>
                <w:u w:val="none"/>
              </w:rPr>
              <w:t xml:space="preserve">Fig 2.42</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Distribution et poussoirs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Le système de distribution est équipé de poussoirs hydrauliques qui récupèrent automatiquement les jeux de fonctionnement du groupe de tiges de culbuteurs. Aucun réglage n'est donc nécessaire.</w:t>
            </w:r>
          </w:p>
          <w:p/>
          <w:p/>
          <w:p>
            <w:pPr>
              <w:widowControl w:val="on"/>
              <w:pBdr/>
              <w:spacing w:before="0" w:after="0" w:line="262" w:lineRule="auto"/>
              <w:ind w:left="0" w:right="0"/>
              <w:jc w:val="left"/>
              <w:textAlignment w:val="center"/>
            </w:pPr>
            <w:r>
              <w:rPr>
                <w:b/>
                <w:bCs/>
                <w:color w:val="00274C"/>
                <w:position w:val="-2"/>
                <w:sz w:val="20"/>
                <w:szCs w:val="20"/>
                <w:u w:val="none"/>
              </w:rPr>
              <w:t xml:space="preserve">2.16.1 Identification des composants</w:t>
            </w:r>
          </w:p>
          <w:p>
            <w:r>
              <w:rPr>
                <w:position w:val="-196"/>
              </w:rPr>
              <w:drawing>
                <wp:inline distT="0" distB="0" distL="0" distR="0">
                  <wp:extent cx="4824000" cy="2512800"/>
                  <wp:effectExtent b="0" l="0" r="0" t="0"/>
                  <wp:docPr id="57392699" name="name67496a9e7451bd492" descr="Fig._2.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3.jpg"/>
                          <pic:cNvPicPr/>
                        </pic:nvPicPr>
                        <pic:blipFill>
                          <a:blip r:embed="rId98716a9e7451bd48f" cstate="print"/>
                          <a:stretch>
                            <a:fillRect/>
                          </a:stretch>
                        </pic:blipFill>
                        <pic:spPr>
                          <a:xfrm>
                            <a:off x="0" y="0"/>
                            <a:ext cx="4824000" cy="2512800"/>
                          </a:xfrm>
                          <a:prstGeom prst="rect">
                            <a:avLst/>
                          </a:prstGeom>
                          <a:ln w="0">
                            <a:noFill/>
                          </a:ln>
                        </pic:spPr>
                      </pic:pic>
                    </a:graphicData>
                  </a:graphic>
                </wp:inline>
              </w:drawing>
            </w:r>
            <w:r>
              <w:rPr>
                <w:b/>
                <w:bCs/>
                <w:color w:val="00274C"/>
                <w:position w:val="-2"/>
                <w:sz w:val="20"/>
                <w:szCs w:val="20"/>
                <w:u w:val="none"/>
              </w:rPr>
              <w:br/>
              <w:t xml:space="preserve">Fig 2.43</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2.37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Vilebrequin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Arbre à cames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Poussoirs de l'arbre à cames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Tige de commande des culbuteurs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Culbuteurs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Soupapes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Engrenage de commande de la pompe à injection du carburant à haute 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Engrenage de commande de l'arbre à cames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Engrenage intermédiaire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Axe de l'engrenage intermédiaire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Engrenage du vilebrequin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Pont de commande des soupapes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Poussoir de commande des soupapes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Poussoirs hydrauliques</w:t>
                  </w:r>
                </w:p>
              </w:tc>
            </w:tr>
          </w:tbl>
          <w:p/>
        </w:tc>
        <w:tc>
          <w:tcPr>
            <w:tcW w:w="0" w:type="auto"/>
            <w:tcMar>
              <w:top w:w="150" w:type="dxa"/>
              <w:left w:w="150" w:type="dxa"/>
              <w:bottom w:w="150" w:type="dxa"/>
              <w:right w:w="150" w:type="dxa"/>
            </w:tcMar>
            <w:vAlign w:val="top"/>
          </w:tcPr>
          <w:p>
            <w:r>
              <w:rPr>
                <w:position w:val="-242"/>
              </w:rPr>
              <w:drawing>
                <wp:inline distT="0" distB="0" distL="0" distR="0">
                  <wp:extent cx="2376000" cy="1576800"/>
                  <wp:effectExtent b="0" l="0" r="0" t="0"/>
                  <wp:docPr id="48156881" name="name27906a9e7451ccdd3" descr="Fig._2.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4.jpg"/>
                          <pic:cNvPicPr/>
                        </pic:nvPicPr>
                        <pic:blipFill>
                          <a:blip r:embed="rId57706a9e7451ccdcf" cstate="print"/>
                          <a:stretch>
                            <a:fillRect/>
                          </a:stretch>
                        </pic:blipFill>
                        <pic:spPr>
                          <a:xfrm>
                            <a:off x="0" y="0"/>
                            <a:ext cx="2376000" cy="1576800"/>
                          </a:xfrm>
                          <a:prstGeom prst="rect">
                            <a:avLst/>
                          </a:prstGeom>
                          <a:ln w="0">
                            <a:noFill/>
                          </a:ln>
                        </pic:spPr>
                      </pic:pic>
                    </a:graphicData>
                  </a:graphic>
                </wp:inline>
              </w:drawing>
            </w:r>
            <w:r>
              <w:rPr>
                <w:b/>
                <w:bCs/>
                <w:color w:val="00274C"/>
                <w:position w:val="0"/>
                <w:sz w:val="20"/>
                <w:szCs w:val="20"/>
                <w:u w:val="none"/>
              </w:rPr>
              <w:br/>
              <w:t xml:space="preserve">Fig 2.44</w:t>
            </w:r>
            <w:r>
              <w:rPr>
                <w:position w:val="-244"/>
              </w:rPr>
              <w:drawing>
                <wp:inline distT="0" distB="0" distL="0" distR="0">
                  <wp:extent cx="2404800" cy="1598400"/>
                  <wp:effectExtent b="0" l="0" r="0" t="0"/>
                  <wp:docPr id="65328029" name="name13706a9e7451d4c59" descr="Fig._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5.jpg"/>
                          <pic:cNvPicPr/>
                        </pic:nvPicPr>
                        <pic:blipFill>
                          <a:blip r:embed="rId50606a9e7451d4c56" cstate="print"/>
                          <a:stretch>
                            <a:fillRect/>
                          </a:stretch>
                        </pic:blipFill>
                        <pic:spPr>
                          <a:xfrm>
                            <a:off x="0" y="0"/>
                            <a:ext cx="2404800" cy="1598400"/>
                          </a:xfrm>
                          <a:prstGeom prst="rect">
                            <a:avLst/>
                          </a:prstGeom>
                          <a:ln w="0">
                            <a:noFill/>
                          </a:ln>
                        </pic:spPr>
                      </pic:pic>
                    </a:graphicData>
                  </a:graphic>
                </wp:inline>
              </w:drawing>
            </w:r>
            <w:r>
              <w:rPr>
                <w:b/>
                <w:bCs/>
                <w:color w:val="00274C"/>
                <w:position w:val="0"/>
                <w:sz w:val="20"/>
                <w:szCs w:val="20"/>
                <w:u w:val="none"/>
              </w:rPr>
              <w:br/>
              <w:br/>
              <w:br/>
              <w:t xml:space="preserve">Fig 2.45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2.16.2</w:t>
            </w:r>
            <w:r>
              <w:rPr>
                <w:color w:val="00274C"/>
                <w:position w:val="-2"/>
                <w:sz w:val="20"/>
                <w:szCs w:val="20"/>
                <w:u w:val="none"/>
              </w:rPr>
              <w:t xml:space="preserve"> </w:t>
            </w:r>
            <w:r>
              <w:rPr>
                <w:b/>
                <w:bCs/>
                <w:color w:val="00274C"/>
                <w:position w:val="-2"/>
                <w:sz w:val="20"/>
                <w:szCs w:val="20"/>
                <w:u w:val="none"/>
              </w:rPr>
              <w:t xml:space="preserve">Axe des culbuteurs</w:t>
            </w:r>
            <w:r>
              <w:rPr>
                <w:b/>
                <w:bCs/>
                <w:color w:val="00274C"/>
                <w:position w:val="-2"/>
                <w:sz w:val="20"/>
                <w:szCs w:val="20"/>
                <w:u w:val="none"/>
              </w:rPr>
              <w:br/>
              <w:br/>
              <w:t xml:space="preserve">Tab 2.39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Axe culbuteurs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Ressort d'écartement des culbuteurs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Support de l'axe des culbuteurs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Culbuteur d'échappement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Culbuteur d'admission</w:t>
                  </w:r>
                </w:p>
              </w:tc>
            </w:tr>
          </w:tbl>
          <w:p/>
        </w:tc>
        <w:tc>
          <w:tcPr>
            <w:tcW w:w="0" w:type="auto"/>
            <w:tcMar>
              <w:top w:w="150" w:type="dxa"/>
              <w:left w:w="150" w:type="dxa"/>
              <w:bottom w:w="150" w:type="dxa"/>
              <w:right w:w="150" w:type="dxa"/>
            </w:tcMar>
            <w:vAlign w:val="top"/>
          </w:tcPr>
          <w:p>
            <w:r>
              <w:rPr>
                <w:position w:val="-242"/>
              </w:rPr>
              <w:drawing>
                <wp:inline distT="0" distB="0" distL="0" distR="0">
                  <wp:extent cx="2376000" cy="1576800"/>
                  <wp:effectExtent b="0" l="0" r="0" t="0"/>
                  <wp:docPr id="97084015" name="name17666a9e7451dfb60" descr="Fig._2.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7.jpg"/>
                          <pic:cNvPicPr/>
                        </pic:nvPicPr>
                        <pic:blipFill>
                          <a:blip r:embed="rId63736a9e7451dfb5d" cstate="print"/>
                          <a:stretch>
                            <a:fillRect/>
                          </a:stretch>
                        </pic:blipFill>
                        <pic:spPr>
                          <a:xfrm>
                            <a:off x="0" y="0"/>
                            <a:ext cx="2376000" cy="1576800"/>
                          </a:xfrm>
                          <a:prstGeom prst="rect">
                            <a:avLst/>
                          </a:prstGeom>
                          <a:ln w="0">
                            <a:noFill/>
                          </a:ln>
                        </pic:spPr>
                      </pic:pic>
                    </a:graphicData>
                  </a:graphic>
                </wp:inline>
              </w:drawing>
            </w:r>
            <w:r>
              <w:rPr>
                <w:b/>
                <w:bCs/>
                <w:color w:val="00274C"/>
                <w:position w:val="0"/>
                <w:sz w:val="20"/>
                <w:szCs w:val="20"/>
                <w:u w:val="none"/>
              </w:rPr>
              <w:br/>
              <w:t xml:space="preserve">Fig 2.47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2.16.3</w:t>
            </w:r>
            <w:r>
              <w:rPr>
                <w:color w:val="00274C"/>
                <w:position w:val="-2"/>
                <w:sz w:val="20"/>
                <w:szCs w:val="20"/>
                <w:u w:val="none"/>
              </w:rPr>
              <w:t xml:space="preserve"> </w:t>
            </w:r>
            <w:r>
              <w:rPr>
                <w:b/>
                <w:bCs/>
                <w:color w:val="00274C"/>
                <w:position w:val="-2"/>
                <w:sz w:val="20"/>
                <w:szCs w:val="20"/>
                <w:u w:val="none"/>
              </w:rPr>
              <w:t xml:space="preserve">Culbuteurs</w:t>
            </w:r>
            <w:r>
              <w:rPr>
                <w:b/>
                <w:bCs/>
                <w:color w:val="00274C"/>
                <w:position w:val="-2"/>
                <w:sz w:val="20"/>
                <w:szCs w:val="20"/>
                <w:u w:val="none"/>
              </w:rPr>
              <w:br/>
              <w:br/>
              <w:t xml:space="preserve">Tab 2.40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Corps du culbuteur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Conduit de ravitaillement d'huile du poussoir hydraulique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Conduit de lubrification du poussoir soupape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Poussoir soupape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Poussoir hydraulique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Conduit de refoulement d’huile</w:t>
                  </w:r>
                </w:p>
              </w:tc>
            </w:tr>
          </w:tbl>
          <w:p/>
        </w:tc>
        <w:tc>
          <w:tcPr>
            <w:tcW w:w="0" w:type="auto"/>
            <w:tcMar>
              <w:top w:w="150" w:type="dxa"/>
              <w:left w:w="150" w:type="dxa"/>
              <w:bottom w:w="150" w:type="dxa"/>
              <w:right w:w="150" w:type="dxa"/>
            </w:tcMar>
            <w:vAlign w:val="top"/>
          </w:tcPr>
          <w:p>
            <w:r>
              <w:rPr>
                <w:position w:val="-246"/>
              </w:rPr>
              <w:drawing>
                <wp:inline distT="0" distB="0" distL="0" distR="0">
                  <wp:extent cx="2390400" cy="1612800"/>
                  <wp:effectExtent b="0" l="0" r="0" t="0"/>
                  <wp:docPr id="51168077" name="name38866a9e7451ec502" descr="Fig._2.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8.jpg"/>
                          <pic:cNvPicPr/>
                        </pic:nvPicPr>
                        <pic:blipFill>
                          <a:blip r:embed="rId93396a9e7451ec4ff" cstate="print"/>
                          <a:stretch>
                            <a:fillRect/>
                          </a:stretch>
                        </pic:blipFill>
                        <pic:spPr>
                          <a:xfrm>
                            <a:off x="0" y="0"/>
                            <a:ext cx="2390400" cy="1612800"/>
                          </a:xfrm>
                          <a:prstGeom prst="rect">
                            <a:avLst/>
                          </a:prstGeom>
                          <a:ln w="0">
                            <a:noFill/>
                          </a:ln>
                        </pic:spPr>
                      </pic:pic>
                    </a:graphicData>
                  </a:graphic>
                </wp:inline>
              </w:drawing>
            </w:r>
            <w:r>
              <w:rPr>
                <w:b/>
                <w:bCs/>
                <w:color w:val="00274C"/>
                <w:position w:val="0"/>
                <w:sz w:val="20"/>
                <w:szCs w:val="20"/>
                <w:u w:val="none"/>
              </w:rPr>
              <w:br/>
              <w:t xml:space="preserve">Fig 2.48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2.16.4</w:t>
            </w:r>
            <w:r>
              <w:rPr>
                <w:color w:val="00274C"/>
                <w:position w:val="-2"/>
                <w:sz w:val="20"/>
                <w:szCs w:val="20"/>
                <w:u w:val="none"/>
              </w:rPr>
              <w:t xml:space="preserve"> </w:t>
            </w:r>
            <w:r>
              <w:rPr>
                <w:b/>
                <w:bCs/>
                <w:color w:val="00274C"/>
                <w:position w:val="-2"/>
                <w:sz w:val="20"/>
                <w:szCs w:val="20"/>
                <w:u w:val="none"/>
              </w:rPr>
              <w:t xml:space="preserve">Poussoirs hydrauliques</w:t>
            </w:r>
            <w:r>
              <w:rPr>
                <w:b/>
                <w:bCs/>
                <w:color w:val="00274C"/>
                <w:position w:val="-2"/>
                <w:sz w:val="20"/>
                <w:szCs w:val="20"/>
                <w:u w:val="none"/>
              </w:rPr>
              <w:br/>
              <w:br/>
              <w:t xml:space="preserve">Tab 2.41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Chambre de basse 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Chambre de haute 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Conduit de ravitaillement d'huile du poussoir hydraulique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Bague d’arrêt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Piston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Soupape unidirectionnelle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Corps du poussoir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Ressort</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2.16.4.1 Fonctionnement du poussoir hydraulique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principe de fonctionnement du poussoir hydraulique se base sur le fait que les liquides ne sont pas compressibles et sur l’écoulement contrôlé.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L'huile arrive sous pression au sein du poussoir dans la chambre </w:t>
            </w:r>
            <w:r>
              <w:rPr>
                <w:b/>
                <w:bCs/>
                <w:color w:val="00274C"/>
                <w:position w:val="-2"/>
                <w:sz w:val="20"/>
                <w:szCs w:val="20"/>
                <w:u w:val="none"/>
              </w:rPr>
              <w:t xml:space="preserve">A</w:t>
            </w:r>
            <w:r>
              <w:rPr>
                <w:color w:val="00274C"/>
                <w:position w:val="-2"/>
                <w:sz w:val="20"/>
                <w:szCs w:val="20"/>
                <w:u w:val="none"/>
              </w:rPr>
              <w:t xml:space="preserve"> , en maintenant le ravitaillement constant.</w:t>
            </w:r>
            <w:r>
              <w:rPr>
                <w:color w:val="00274C"/>
                <w:position w:val="-2"/>
                <w:sz w:val="20"/>
                <w:szCs w:val="20"/>
                <w:u w:val="none"/>
              </w:rPr>
              <w:br/>
              <w:t xml:space="preserve">À travers la soupape unidirectionnelle </w:t>
            </w:r>
            <w:r>
              <w:rPr>
                <w:b/>
                <w:bCs/>
                <w:color w:val="00274C"/>
                <w:position w:val="-2"/>
                <w:sz w:val="20"/>
                <w:szCs w:val="20"/>
                <w:u w:val="none"/>
              </w:rPr>
              <w:t xml:space="preserve">4</w:t>
            </w:r>
            <w:r>
              <w:rPr>
                <w:color w:val="00274C"/>
                <w:position w:val="-2"/>
                <w:sz w:val="20"/>
                <w:szCs w:val="20"/>
                <w:u w:val="none"/>
              </w:rPr>
              <w:t xml:space="preserve"> , l'huile ne peut qu’entrer dans la chambre de haute pression </w:t>
            </w:r>
            <w:r>
              <w:rPr>
                <w:b/>
                <w:bCs/>
                <w:color w:val="00274C"/>
                <w:position w:val="-2"/>
                <w:sz w:val="20"/>
                <w:szCs w:val="20"/>
                <w:u w:val="none"/>
              </w:rPr>
              <w:t xml:space="preserve">B</w:t>
            </w:r>
            <w:r>
              <w:rPr>
                <w:color w:val="00274C"/>
                <w:position w:val="-2"/>
                <w:sz w:val="20"/>
                <w:szCs w:val="20"/>
                <w:u w:val="none"/>
              </w:rPr>
              <w:t xml:space="preserve"> et sortir grâce au jeu entre le petit piston </w:t>
            </w:r>
            <w:r>
              <w:rPr>
                <w:b/>
                <w:bCs/>
                <w:color w:val="00274C"/>
                <w:position w:val="-2"/>
                <w:sz w:val="20"/>
                <w:szCs w:val="20"/>
                <w:u w:val="none"/>
              </w:rPr>
              <w:t xml:space="preserve">3</w:t>
            </w:r>
            <w:r>
              <w:rPr>
                <w:color w:val="00274C"/>
                <w:position w:val="-2"/>
                <w:sz w:val="20"/>
                <w:szCs w:val="20"/>
                <w:u w:val="none"/>
              </w:rPr>
              <w:t xml:space="preserve"> et le corps du poussoir </w:t>
            </w:r>
            <w:r>
              <w:rPr>
                <w:b/>
                <w:bCs/>
                <w:color w:val="00274C"/>
                <w:position w:val="-2"/>
                <w:sz w:val="20"/>
                <w:szCs w:val="20"/>
                <w:u w:val="none"/>
              </w:rPr>
              <w:t xml:space="preserve">5</w:t>
            </w:r>
            <w:r>
              <w:rPr>
                <w:color w:val="00274C"/>
                <w:position w:val="-2"/>
                <w:sz w:val="20"/>
                <w:szCs w:val="20"/>
                <w:u w:val="none"/>
              </w:rPr>
              <w:t xml:space="preserve"> (écoulement contrôlé).</w:t>
            </w:r>
            <w:r>
              <w:rPr>
                <w:color w:val="00274C"/>
                <w:position w:val="-2"/>
                <w:sz w:val="20"/>
                <w:szCs w:val="20"/>
                <w:u w:val="none"/>
              </w:rPr>
              <w:br/>
              <w:t xml:space="preserve">Le remplissage de la chambre </w:t>
            </w:r>
            <w:r>
              <w:rPr>
                <w:b/>
                <w:bCs/>
                <w:color w:val="00274C"/>
                <w:position w:val="-2"/>
                <w:sz w:val="20"/>
                <w:szCs w:val="20"/>
                <w:u w:val="none"/>
              </w:rPr>
              <w:t xml:space="preserve">B</w:t>
            </w:r>
            <w:r>
              <w:rPr>
                <w:color w:val="00274C"/>
                <w:position w:val="-2"/>
                <w:sz w:val="20"/>
                <w:szCs w:val="20"/>
                <w:u w:val="none"/>
              </w:rPr>
              <w:t xml:space="preserve"> a lieu quand le culbuteur se trouve sur le rayon de base de la came et que le ressort </w:t>
            </w:r>
            <w:r>
              <w:rPr>
                <w:b/>
                <w:bCs/>
                <w:color w:val="00274C"/>
                <w:position w:val="-2"/>
                <w:sz w:val="20"/>
                <w:szCs w:val="20"/>
                <w:u w:val="none"/>
              </w:rPr>
              <w:t xml:space="preserve">6</w:t>
            </w:r>
            <w:r>
              <w:rPr>
                <w:color w:val="00274C"/>
                <w:position w:val="-2"/>
                <w:sz w:val="20"/>
                <w:szCs w:val="20"/>
                <w:u w:val="none"/>
              </w:rPr>
              <w:t xml:space="preserve"> maintient le petit piston </w:t>
            </w:r>
            <w:r>
              <w:rPr>
                <w:b/>
                <w:bCs/>
                <w:color w:val="00274C"/>
                <w:position w:val="-2"/>
                <w:sz w:val="20"/>
                <w:szCs w:val="20"/>
                <w:u w:val="none"/>
              </w:rPr>
              <w:t xml:space="preserve">3</w:t>
            </w:r>
            <w:r>
              <w:rPr>
                <w:color w:val="00274C"/>
                <w:position w:val="-2"/>
                <w:sz w:val="20"/>
                <w:szCs w:val="20"/>
                <w:u w:val="none"/>
              </w:rPr>
              <w:t xml:space="preserve"> contre la queue de la soupape, en éliminant ainsi le jeu de l’ensemble du système. Le poussoir «s’étend» suite à l’allongement du ressort, en créant une légère dépression dans la chambre B, ce qui provoque l’ouverture de la soupape unidirectionnelle 4 et permet à l’huile, se trouvant dans la chambre </w:t>
            </w:r>
            <w:r>
              <w:rPr>
                <w:b/>
                <w:bCs/>
                <w:color w:val="00274C"/>
                <w:position w:val="-2"/>
                <w:sz w:val="20"/>
                <w:szCs w:val="20"/>
                <w:u w:val="none"/>
              </w:rPr>
              <w:t xml:space="preserve">A</w:t>
            </w:r>
            <w:r>
              <w:rPr>
                <w:color w:val="00274C"/>
                <w:position w:val="-2"/>
                <w:sz w:val="20"/>
                <w:szCs w:val="20"/>
                <w:u w:val="none"/>
              </w:rPr>
              <w:t xml:space="preserve"> , de passer dans la chambre B en rétablissant la quantité d’huile nécessaire à annuler le jeu nul des soupapes.</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  </w:t>
            </w:r>
            <w:r>
              <w:rPr>
                <w:position w:val="-498"/>
              </w:rPr>
              <w:drawing>
                <wp:inline distT="0" distB="0" distL="0" distR="0">
                  <wp:extent cx="2275200" cy="3168000"/>
                  <wp:effectExtent b="0" l="0" r="0" t="0"/>
                  <wp:docPr id="52717211" name="name44566a9e74520306a" descr="Fig._2.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9.jpg"/>
                          <pic:cNvPicPr/>
                        </pic:nvPicPr>
                        <pic:blipFill>
                          <a:blip r:embed="rId93676a9e745203067" cstate="print"/>
                          <a:stretch>
                            <a:fillRect/>
                          </a:stretch>
                        </pic:blipFill>
                        <pic:spPr>
                          <a:xfrm>
                            <a:off x="0" y="0"/>
                            <a:ext cx="2275200" cy="3168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2.49</w:t>
            </w:r>
          </w:p>
        </w:tc>
      </w:tr>
    </w:tbl>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2.16.4.2 Situazioni difficili di funzionamento</w:t>
            </w:r>
            <w:r>
              <w:rPr>
                <w:color w:val="00274C"/>
                <w:position w:val="-2"/>
                <w:sz w:val="20"/>
                <w:szCs w:val="20"/>
                <w:u w:val="none"/>
              </w:rPr>
              <w:br/>
              <w:br/>
              <w:br/>
              <w:br/>
              <w:t xml:space="preserve">Pour que les poussoirs hydrauliques puissent fonctionner correctement, il est fondamental que la chambre de pression du petit piston 3 soit toujours pleine d’huile.</w:t>
            </w:r>
            <w:r>
              <w:rPr>
                <w:color w:val="00274C"/>
                <w:position w:val="-2"/>
                <w:sz w:val="20"/>
                <w:szCs w:val="20"/>
                <w:u w:val="none"/>
              </w:rPr>
              <w:br/>
              <w:br/>
              <w:t xml:space="preserve">Dans certaines conditions, cela ne peut avoir lieu (à cause du fait que les écoulements d'huile, lorsque le moteur est à l’arrêt, peuvent également arriver à vider partiellement les poussoirs): cette situation provoquera des jeux qui se manifesteront par un bruit caractéristique semblable à un cliquetis.</w:t>
            </w:r>
          </w:p>
          <w:p>
            <w:pPr>
              <w:numPr>
                <w:ilvl w:val="1"/>
                <w:numId w:val="16402"/>
              </w:numPr>
              <w:spacing w:before="0" w:after="0" w:line="262" w:lineRule="auto"/>
              <w:jc w:val="left"/>
              <w:rPr>
                <w:color w:val="00274C"/>
                <w:sz w:val="20"/>
                <w:szCs w:val="20"/>
              </w:rPr>
            </w:pPr>
            <w:r>
              <w:rPr>
                <w:color w:val="00274C"/>
                <w:position w:val="-2"/>
                <w:sz w:val="20"/>
                <w:szCs w:val="20"/>
                <w:u w:val="none"/>
              </w:rPr>
              <w:br/>
              <w:br/>
              <w:t xml:space="preserve">Lorsque le moteur est froid, le temps de remplissage des poussoirs peut se prolonger, à cause de viscosité plus important de l'huile, si l'on n'utilise pas le type d'huile appropriée aux caractéristiques environnementales ( </w:t>
            </w:r>
            <w:hyperlink r:id="rId65726a9e74520435d"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1"/>
                <w:numId w:val="16402"/>
              </w:numPr>
              <w:spacing w:before="0" w:after="0" w:line="262" w:lineRule="auto"/>
              <w:jc w:val="left"/>
              <w:rPr>
                <w:color w:val="00274C"/>
                <w:sz w:val="20"/>
                <w:szCs w:val="20"/>
              </w:rPr>
            </w:pPr>
            <w:r>
              <w:rPr>
                <w:color w:val="00274C"/>
                <w:position w:val="-2"/>
                <w:sz w:val="20"/>
                <w:szCs w:val="20"/>
                <w:u w:val="none"/>
              </w:rPr>
              <w:t xml:space="preserve">    Si le moteur est très chaud, ou bien en conditions particulières de fonctionnement comme par exemple lors du fonctionnement prolongé avec des inclinaisons très élevées: au minimum, la pression de l’huile peut être basse et des petites bulles d’air peuvent se former à l’intérieur du circuit. Pour cette raison, le poussoir subit un léger écrasement qui entraîne un jeu de la soupape, générant un léger cliquetis, qui cependant disparaît rapidement (10 secondes </w:t>
            </w:r>
            <w:r>
              <w:rPr>
                <w:b/>
                <w:bCs/>
                <w:color w:val="00274C"/>
                <w:position w:val="-2"/>
                <w:sz w:val="20"/>
                <w:szCs w:val="20"/>
                <w:u w:val="none"/>
              </w:rPr>
              <w:t xml:space="preserve">MAX</w:t>
            </w:r>
            <w:r>
              <w:rPr>
                <w:color w:val="00274C"/>
                <w:position w:val="-2"/>
                <w:sz w:val="20"/>
                <w:szCs w:val="20"/>
                <w:u w:val="none"/>
              </w:rPr>
              <w:t xml:space="preserve"> ), une fois que les conditions normales de fonctionnement sont rétablies.</w:t>
            </w:r>
          </w:p>
          <w:p/>
          <w:p>
            <w:pPr>
              <w:widowControl w:val="on"/>
              <w:pBdr/>
              <w:spacing w:before="0" w:after="0" w:line="240" w:lineRule="auto"/>
              <w:ind w:left="0" w:right="0"/>
              <w:jc w:val="left"/>
            </w:pPr>
            <w:r>
              <w:rPr>
                <w:color w:val="00274C"/>
                <w:position w:val="-2"/>
                <w:sz w:val="20"/>
                <w:szCs w:val="20"/>
                <w:u w:val="none"/>
              </w:rPr>
              <w:t xml:space="preserve">
Dans tous les cas, le cliquetis devrait durer </w:t>
            </w:r>
            <w:r>
              <w:rPr>
                <w:b/>
                <w:bCs/>
                <w:color w:val="00274C"/>
                <w:position w:val="-2"/>
                <w:sz w:val="20"/>
                <w:szCs w:val="20"/>
                <w:u w:val="none"/>
              </w:rPr>
              <w:t xml:space="preserve">MAX</w:t>
            </w:r>
            <w:r>
              <w:rPr>
                <w:color w:val="00274C"/>
                <w:position w:val="-2"/>
                <w:sz w:val="20"/>
                <w:szCs w:val="20"/>
                <w:u w:val="none"/>
              </w:rPr>
              <w:t xml:space="preserve"> 30 secondes. Si ce n’est pas le cas, le problème est dû à  la mauvaise qualité de l’huile, à l’usure ou à la saleté qui, entraînée par l’huile, peut s’introduire entre la petite soupape sphérique et son siège à l’intérieur du piston, compromettant ainsi le fonctionnement du poussoir. Il ne restera alors qu’à procéder au remplacement de l’huile ou des poussoirs hydrauliques.</w:t>
            </w:r>
            <w:r>
              <w:rPr>
                <w:color w:val="00274C"/>
                <w:position w:val="-2"/>
                <w:sz w:val="20"/>
                <w:szCs w:val="20"/>
                <w:u w:val="none"/>
              </w:rPr>
              <w:br/>
              <w:br/>
              <w:t xml:space="preserve">La persistance du cliquetis ou d’un bruit anormal pendant de longues périodes doit faire l’objet d’une inspection pour éviter tout dysfonctionnement et, si nécessaire, les poussoirs hydrauliques et l’huile moteur doivent être remplacés.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Manutention des composants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2.17.1 Pompe à injection</w:t>
            </w:r>
            <w:r>
              <w:rPr>
                <w:color w:val="00274C"/>
                <w:position w:val="-2"/>
                <w:sz w:val="20"/>
                <w:szCs w:val="20"/>
                <w:u w:val="none"/>
              </w:rPr>
              <w:br/>
              <w:br/>
              <w:t xml:space="preserve">-  Effectuer la manutention seulement à l’aide des points indiqués par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Il est interdit d’effectuer la manutention en utilisant les points indiqués par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504"/>
              </w:rPr>
              <w:drawing>
                <wp:inline distT="0" distB="0" distL="0" distR="0">
                  <wp:extent cx="2304000" cy="3211200"/>
                  <wp:effectExtent b="0" l="0" r="0" t="0"/>
                  <wp:docPr id="46517209" name="name54166a9e74520f7ff" descr="Fig._2.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51.jpg"/>
                          <pic:cNvPicPr/>
                        </pic:nvPicPr>
                        <pic:blipFill>
                          <a:blip r:embed="rId97236a9e74520f7fb" cstate="print"/>
                          <a:stretch>
                            <a:fillRect/>
                          </a:stretch>
                        </pic:blipFill>
                        <pic:spPr>
                          <a:xfrm>
                            <a:off x="0" y="0"/>
                            <a:ext cx="2304000" cy="3211200"/>
                          </a:xfrm>
                          <a:prstGeom prst="rect">
                            <a:avLst/>
                          </a:prstGeom>
                          <a:ln w="0">
                            <a:noFill/>
                          </a:ln>
                        </pic:spPr>
                      </pic:pic>
                    </a:graphicData>
                  </a:graphic>
                </wp:inline>
              </w:drawing>
            </w:r>
            <w:r>
              <w:rPr>
                <w:b/>
                <w:bCs/>
                <w:color w:val="00274C"/>
                <w:position w:val="0"/>
                <w:sz w:val="20"/>
                <w:szCs w:val="20"/>
                <w:u w:val="none"/>
              </w:rPr>
              <w:br/>
              <w:t xml:space="preserve">Fig 2.56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2.17.2 Injecteur</w:t>
            </w:r>
            <w:r>
              <w:rPr>
                <w:color w:val="00274C"/>
                <w:position w:val="-2"/>
                <w:sz w:val="20"/>
                <w:szCs w:val="20"/>
                <w:u w:val="none"/>
              </w:rPr>
              <w:br/>
              <w:br/>
              <w:t xml:space="preserve">- Effectuer la manutention seulement à l’aide des points indiqués par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Il est interdit d’effectuer la manutention en utilisant les points indiqués par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77287803" name="name63996a9e745215142" descr="2.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7.jpg"/>
                          <pic:cNvPicPr/>
                        </pic:nvPicPr>
                        <pic:blipFill>
                          <a:blip r:embed="rId84546a9e74521513f"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2.57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2.17.3 Turbocompresseur</w:t>
            </w:r>
            <w:r>
              <w:rPr>
                <w:color w:val="00274C"/>
                <w:position w:val="-2"/>
                <w:sz w:val="20"/>
                <w:szCs w:val="20"/>
                <w:u w:val="none"/>
              </w:rPr>
              <w:br/>
              <w:br/>
              <w:t xml:space="preserve">- Effectuer la manutention seulement à l’aide des points indiqués par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Il est interdit d’effectuer la manutention en utilisant les points indiqués par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89984010" name="name48526a9e74521b907" descr="2.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8.jpg"/>
                          <pic:cNvPicPr/>
                        </pic:nvPicPr>
                        <pic:blipFill>
                          <a:blip r:embed="rId36716a9e74521b904"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2.58</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Turbocompresseur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2.18.1 Que faut-il faire et que ne faut-il pas faire</w:t>
            </w:r>
          </w:p>
          <w:p/>
          <w:p/>
          <w:p>
            <w:pPr>
              <w:widowControl w:val="on"/>
              <w:pBdr/>
              <w:spacing w:before="0" w:after="0" w:line="262" w:lineRule="auto"/>
              <w:ind w:left="0" w:right="0"/>
              <w:jc w:val="left"/>
              <w:textAlignment w:val="center"/>
            </w:pPr>
            <w:r>
              <w:rPr>
                <w:b/>
                <w:bCs/>
                <w:color w:val="00274C"/>
                <w:position w:val="-2"/>
                <w:sz w:val="20"/>
                <w:szCs w:val="20"/>
                <w:u w:val="none"/>
              </w:rPr>
              <w:t xml:space="preserve">Que faut-il faire:</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Avant de monter le turbocompresseur, vérifier que les bouchons de protection soient présents sur toutes les ouvertures du turbo.</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Garantir la pré-lubrification du turbocompresseur.</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Contrôler périodiquement que les joints soient étanches à l'huile et à l'air.</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Utiliser une huile lubrifiante conforme aux spécifications décrites dans le </w:t>
            </w:r>
            <w:hyperlink r:id="rId48976a9e74521d6a6" w:history="1">
              <w:r>
                <w:rPr>
                  <w:rStyle w:val="DefaultParagraphFontPHPDOCX"/>
                  <w:b/>
                  <w:bCs/>
                  <w:color w:val="0000FF"/>
                  <w:position w:val="-2"/>
                  <w:sz w:val="20"/>
                  <w:szCs w:val="20"/>
                  <w:u w:val="none"/>
                </w:rPr>
                <w:t xml:space="preserve">Par. 2.4</w:t>
              </w:r>
            </w:hyperlink>
            <w:r>
              <w:rPr>
                <w:color w:val="00274C"/>
                <w:position w:val="-2"/>
                <w:sz w:val="20"/>
                <w:szCs w:val="20"/>
                <w:u w:val="none"/>
              </w:rPr>
              <w:t xml:space="preserve"> .</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Vérifier le bon niveau d'huile dans le moteur.</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Avant d'éteindre après utilisation, faire tourner le moteur au régime minimum ou sans charge pendant 1 minute environ.</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S'assurer que les intervalles des contrôles et d'entretien du moteur soient respectés conformément aux indications des </w:t>
            </w:r>
            <w:hyperlink r:id="rId55066a9e74521def1" w:history="1">
              <w:r>
                <w:rPr>
                  <w:rStyle w:val="DefaultParagraphFontPHPDOCX"/>
                  <w:b/>
                  <w:bCs/>
                  <w:color w:val="0000FF"/>
                  <w:position w:val="-2"/>
                  <w:sz w:val="20"/>
                  <w:szCs w:val="20"/>
                  <w:u w:val="none"/>
                </w:rPr>
                <w:t xml:space="preserve">Tab. 2.8 et 2.9</w:t>
              </w:r>
            </w:hyperlink>
            <w:r>
              <w:rPr>
                <w:color w:val="00274C"/>
                <w:position w:val="-2"/>
                <w:sz w:val="20"/>
                <w:szCs w:val="20"/>
                <w:u w:val="none"/>
              </w:rPr>
              <w:t xml:space="preserve"> .</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S'assurer que le moteur et les équipements soient utilisés correctement pour ne pas compromettre la durée de vie du turbocompresseur.</w:t>
            </w:r>
          </w:p>
        </w:tc>
        <w:tc>
          <w:tcPr>
            <w:tcW w:w="0" w:type="auto"/>
            <w:tcMar>
              <w:top w:w="150" w:type="dxa"/>
              <w:left w:w="150" w:type="dxa"/>
              <w:bottom w:w="150" w:type="dxa"/>
              <w:right w:w="150" w:type="dxa"/>
            </w:tcMar>
            <w:vAlign w:val="top"/>
          </w:tcPr>
          <w:p/>
          <w:p/>
          <w:p/>
          <w:p/>
          <w:p>
            <w:pPr>
              <w:widowControl w:val="on"/>
              <w:pBdr/>
              <w:spacing w:before="0" w:after="0" w:line="262" w:lineRule="auto"/>
              <w:ind w:left="0" w:right="0"/>
              <w:jc w:val="left"/>
              <w:textAlignment w:val="top"/>
            </w:pPr>
            <w:r>
              <w:rPr>
                <w:b/>
                <w:bCs/>
                <w:color w:val="00274C"/>
                <w:position w:val="0"/>
                <w:sz w:val="20"/>
                <w:szCs w:val="20"/>
                <w:u w:val="none"/>
              </w:rPr>
              <w:t xml:space="preserve">Que ne faut-il pas faire</w:t>
            </w:r>
          </w:p>
          <w:p>
            <w:pPr>
              <w:numPr>
                <w:ilvl w:val="0"/>
                <w:numId w:val="16399"/>
              </w:numPr>
              <w:spacing w:before="0" w:after="0" w:line="262" w:lineRule="auto"/>
              <w:jc w:val="left"/>
              <w:rPr>
                <w:color w:val="00274C"/>
                <w:sz w:val="20"/>
                <w:szCs w:val="20"/>
              </w:rPr>
            </w:pPr>
            <w:r>
              <w:rPr>
                <w:color w:val="00274C"/>
                <w:position w:val="0"/>
                <w:sz w:val="20"/>
                <w:szCs w:val="20"/>
                <w:u w:val="none"/>
              </w:rPr>
              <w:t xml:space="preserve">Ne pas conserver les turbocompresseurs dans des lieux humides et mouillés s'ils sont hors de leur emballage d'origine.</w:t>
            </w:r>
          </w:p>
          <w:p>
            <w:pPr>
              <w:numPr>
                <w:ilvl w:val="0"/>
                <w:numId w:val="16399"/>
              </w:numPr>
              <w:spacing w:before="0" w:after="0" w:line="262" w:lineRule="auto"/>
              <w:jc w:val="left"/>
              <w:rPr>
                <w:color w:val="00274C"/>
                <w:sz w:val="20"/>
                <w:szCs w:val="20"/>
              </w:rPr>
            </w:pPr>
            <w:r>
              <w:rPr>
                <w:color w:val="00274C"/>
                <w:position w:val="0"/>
                <w:sz w:val="20"/>
                <w:szCs w:val="20"/>
                <w:u w:val="none"/>
              </w:rPr>
              <w:t xml:space="preserve">Ne pas exposer les turbocompresseurs à la poussière et à la saleté s'ils sont hors de leur emballage d'origine.</w:t>
            </w:r>
          </w:p>
          <w:p>
            <w:pPr>
              <w:numPr>
                <w:ilvl w:val="0"/>
                <w:numId w:val="16399"/>
              </w:numPr>
              <w:spacing w:before="0" w:after="0" w:line="262" w:lineRule="auto"/>
              <w:jc w:val="left"/>
              <w:rPr>
                <w:color w:val="00274C"/>
                <w:sz w:val="20"/>
                <w:szCs w:val="20"/>
              </w:rPr>
            </w:pPr>
            <w:r>
              <w:rPr>
                <w:color w:val="00274C"/>
                <w:position w:val="0"/>
                <w:sz w:val="20"/>
                <w:szCs w:val="20"/>
                <w:u w:val="none"/>
              </w:rPr>
              <w:t xml:space="preserve">Ne pas soulever ni tenir le turbocompresseur par la tige de l'actionneur s'il est hors de son emballage d'origine.</w:t>
            </w:r>
          </w:p>
          <w:p>
            <w:pPr>
              <w:numPr>
                <w:ilvl w:val="0"/>
                <w:numId w:val="16399"/>
              </w:numPr>
              <w:spacing w:before="0" w:after="0" w:line="262" w:lineRule="auto"/>
              <w:jc w:val="left"/>
              <w:rPr>
                <w:color w:val="00274C"/>
                <w:sz w:val="20"/>
                <w:szCs w:val="20"/>
              </w:rPr>
            </w:pPr>
            <w:r>
              <w:rPr>
                <w:color w:val="00274C"/>
                <w:position w:val="0"/>
                <w:sz w:val="20"/>
                <w:szCs w:val="20"/>
                <w:u w:val="none"/>
              </w:rPr>
              <w:t xml:space="preserve">Ne pas ajouter d'additifs dans l'huile lubrifiante et carburante, sauf indications contraires de Kohler.</w:t>
            </w:r>
          </w:p>
          <w:p>
            <w:pPr>
              <w:numPr>
                <w:ilvl w:val="0"/>
                <w:numId w:val="16399"/>
              </w:numPr>
              <w:spacing w:before="0" w:after="0" w:line="262" w:lineRule="auto"/>
              <w:jc w:val="left"/>
              <w:rPr>
                <w:color w:val="00274C"/>
                <w:sz w:val="20"/>
                <w:szCs w:val="20"/>
              </w:rPr>
            </w:pPr>
            <w:r>
              <w:rPr>
                <w:color w:val="00274C"/>
                <w:position w:val="0"/>
                <w:sz w:val="20"/>
                <w:szCs w:val="20"/>
                <w:u w:val="none"/>
              </w:rPr>
              <w:t xml:space="preserve">Ne pas augmenter le régime du moteur ni appliquer de charges juste après le démarrage.</w:t>
            </w:r>
          </w:p>
          <w:p>
            <w:pPr>
              <w:numPr>
                <w:ilvl w:val="0"/>
                <w:numId w:val="16399"/>
              </w:numPr>
              <w:spacing w:before="0" w:after="0" w:line="262" w:lineRule="auto"/>
              <w:jc w:val="left"/>
              <w:rPr>
                <w:color w:val="00274C"/>
                <w:sz w:val="20"/>
                <w:szCs w:val="20"/>
              </w:rPr>
            </w:pPr>
            <w:r>
              <w:rPr>
                <w:color w:val="00274C"/>
                <w:position w:val="0"/>
                <w:sz w:val="20"/>
                <w:szCs w:val="20"/>
                <w:u w:val="none"/>
              </w:rPr>
              <w:t xml:space="preserve">Ne pas intervenir sur les réglages de l'actionneur </w:t>
            </w:r>
            <w:r>
              <w:rPr>
                <w:b/>
                <w:bCs/>
                <w:color w:val="00274C"/>
                <w:position w:val="0"/>
                <w:sz w:val="20"/>
                <w:szCs w:val="20"/>
                <w:u w:val="none"/>
              </w:rPr>
              <w:t xml:space="preserve">A (Fig. 2.52)</w:t>
            </w:r>
            <w:r>
              <w:rPr>
                <w:color w:val="00274C"/>
                <w:position w:val="0"/>
                <w:sz w:val="20"/>
                <w:szCs w:val="20"/>
                <w:u w:val="none"/>
              </w:rPr>
              <w:t xml:space="preserve"> .</w:t>
            </w:r>
          </w:p>
          <w:p>
            <w:pPr>
              <w:numPr>
                <w:ilvl w:val="0"/>
                <w:numId w:val="16399"/>
              </w:numPr>
              <w:spacing w:before="0" w:after="0" w:line="262" w:lineRule="auto"/>
              <w:jc w:val="left"/>
              <w:rPr>
                <w:color w:val="00274C"/>
                <w:sz w:val="20"/>
                <w:szCs w:val="20"/>
              </w:rPr>
            </w:pPr>
            <w:r>
              <w:rPr>
                <w:color w:val="00274C"/>
                <w:position w:val="0"/>
                <w:sz w:val="20"/>
                <w:szCs w:val="20"/>
                <w:u w:val="none"/>
              </w:rPr>
              <w:t xml:space="preserve">Ne pas laisser en marche le véhicule / moteur au minimum pendant plus de 20/30 min.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2.18.2 Règles pratiques opérationnelles</w:t>
            </w:r>
            <w:r>
              <w:rPr>
                <w:color w:val="00274C"/>
                <w:position w:val="-2"/>
                <w:sz w:val="20"/>
                <w:szCs w:val="20"/>
                <w:u w:val="none"/>
              </w:rPr>
              <w:br/>
              <w:br/>
              <w:t xml:space="preserve">Les utilisateurs peuvent contribuer à ce que leur turbocompresseur fonctionnent correctement plus longtemps si les règles décrites ci-dessous sont suivies.</w:t>
            </w:r>
          </w:p>
          <w:p>
            <w:pPr>
              <w:numPr>
                <w:ilvl w:val="0"/>
                <w:numId w:val="16403"/>
              </w:numPr>
              <w:spacing w:before="0" w:after="0" w:line="262" w:lineRule="auto"/>
              <w:jc w:val="left"/>
              <w:rPr>
                <w:color w:val="00274C"/>
                <w:sz w:val="20"/>
                <w:szCs w:val="20"/>
              </w:rPr>
            </w:pPr>
            <w:r>
              <w:rPr>
                <w:b/>
                <w:bCs/>
                <w:color w:val="00274C"/>
                <w:position w:val="-2"/>
                <w:sz w:val="20"/>
                <w:szCs w:val="20"/>
                <w:u w:val="none"/>
              </w:rPr>
              <w:br/>
              <w:br/>
              <w:t xml:space="preserve">Démarrage</w:t>
            </w:r>
            <w:r>
              <w:rPr>
                <w:color w:val="00274C"/>
                <w:position w:val="-2"/>
                <w:sz w:val="20"/>
                <w:szCs w:val="20"/>
                <w:u w:val="none"/>
              </w:rPr>
              <w:br/>
              <w:t xml:space="preserve">Démarrer le moteur au régime minimum de tours ou sans charge pendant environ une minute. La pression de travail de l'huile est atteinte après quelques secondes et permet aux parties en mouvement de chauffer et de se lubrifier. Augmenter les tours du moteur dès le démarrage signifie faire tourner le turbocompresseur à une vitesse élevée en conditions de lubrification non optimales, et peut compromettre la durée de vie du compresseur</w:t>
            </w:r>
          </w:p>
          <w:p>
            <w:pPr>
              <w:numPr>
                <w:ilvl w:val="0"/>
                <w:numId w:val="16403"/>
              </w:numPr>
              <w:spacing w:before="0" w:after="0" w:line="262" w:lineRule="auto"/>
              <w:jc w:val="left"/>
              <w:rPr>
                <w:color w:val="00274C"/>
                <w:sz w:val="20"/>
                <w:szCs w:val="20"/>
              </w:rPr>
            </w:pPr>
            <w:r>
              <w:rPr>
                <w:b/>
                <w:bCs/>
                <w:color w:val="00274C"/>
                <w:position w:val="-2"/>
                <w:sz w:val="20"/>
                <w:szCs w:val="20"/>
                <w:u w:val="none"/>
              </w:rPr>
              <w:t xml:space="preserve">Après l'entretien ou une nouvelle installation</w:t>
            </w:r>
            <w:r>
              <w:rPr>
                <w:color w:val="00274C"/>
                <w:position w:val="-2"/>
                <w:sz w:val="20"/>
                <w:szCs w:val="20"/>
                <w:u w:val="none"/>
              </w:rPr>
              <w:t xml:space="preserve"> Effectuer la pré-lubrification en remplissant complètement le conduit de refoulement de l'huile B avec de l'huile neuve.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Démarrer le moteur au régime minimum de tours ou sans charge pendant quelques minutes afin de garantir un fonctionnement satisfaisant de l'huile et des systèmes de paliers..</w:t>
            </w:r>
          </w:p>
          <w:p>
            <w:pPr>
              <w:numPr>
                <w:ilvl w:val="0"/>
                <w:numId w:val="16403"/>
              </w:numPr>
              <w:spacing w:before="0" w:after="0" w:line="262" w:lineRule="auto"/>
              <w:jc w:val="left"/>
              <w:rPr>
                <w:color w:val="00274C"/>
                <w:sz w:val="20"/>
                <w:szCs w:val="20"/>
              </w:rPr>
            </w:pPr>
            <w:r>
              <w:rPr>
                <w:b/>
                <w:bCs/>
                <w:color w:val="00274C"/>
                <w:position w:val="-2"/>
                <w:sz w:val="20"/>
                <w:szCs w:val="20"/>
                <w:u w:val="none"/>
              </w:rPr>
              <w:t xml:space="preserve">Air à basse température ou inactivité du moteur</w:t>
            </w:r>
            <w:r>
              <w:rPr>
                <w:color w:val="00274C"/>
                <w:position w:val="-2"/>
                <w:sz w:val="20"/>
                <w:szCs w:val="20"/>
                <w:u w:val="none"/>
              </w:rPr>
              <w:br/>
              <w:t xml:space="preserve">Si le moteur est resté inactif pendant un certain temps ou si la température de l'air est très basse, démarrer le moteur au régime minimum de rotation ou sans charge pendant quelques minutes.</w:t>
            </w:r>
          </w:p>
          <w:p>
            <w:pPr>
              <w:numPr>
                <w:ilvl w:val="0"/>
                <w:numId w:val="16403"/>
              </w:numPr>
              <w:spacing w:before="0" w:after="0" w:line="262" w:lineRule="auto"/>
              <w:jc w:val="left"/>
              <w:rPr>
                <w:color w:val="00274C"/>
                <w:sz w:val="20"/>
                <w:szCs w:val="20"/>
              </w:rPr>
            </w:pPr>
            <w:r>
              <w:rPr>
                <w:b/>
                <w:bCs/>
                <w:color w:val="00274C"/>
                <w:position w:val="-2"/>
                <w:sz w:val="20"/>
                <w:szCs w:val="20"/>
                <w:u w:val="none"/>
              </w:rPr>
              <w:t xml:space="preserve">Arrêt du moteur</w:t>
            </w:r>
            <w:r>
              <w:rPr>
                <w:color w:val="00274C"/>
                <w:position w:val="-2"/>
                <w:sz w:val="20"/>
                <w:szCs w:val="20"/>
                <w:u w:val="none"/>
              </w:rPr>
              <w:br/>
              <w:t xml:space="preserve">Avant d’arrêter le moteur après une activité intense, il faut permettre le refroidissement du turbocompresseur. Il est ensuite nécessaire de laisser le moteur au régime minimum de rotation ou sans charge pendant au moins 2 minutes pour permettre au turbocompresseur de refroidir.</w:t>
            </w:r>
          </w:p>
          <w:p>
            <w:pPr>
              <w:numPr>
                <w:ilvl w:val="0"/>
                <w:numId w:val="16403"/>
              </w:numPr>
              <w:spacing w:before="0" w:after="0" w:line="262" w:lineRule="auto"/>
              <w:jc w:val="left"/>
              <w:rPr>
                <w:color w:val="00274C"/>
                <w:sz w:val="20"/>
                <w:szCs w:val="20"/>
              </w:rPr>
            </w:pPr>
            <w:r>
              <w:rPr>
                <w:b/>
                <w:bCs/>
                <w:color w:val="00274C"/>
                <w:position w:val="-2"/>
                <w:sz w:val="20"/>
                <w:szCs w:val="20"/>
                <w:u w:val="none"/>
              </w:rPr>
              <w:t xml:space="preserve">Moteur au régime minimum</w:t>
            </w:r>
            <w:r>
              <w:rPr>
                <w:color w:val="00274C"/>
                <w:position w:val="-2"/>
                <w:sz w:val="20"/>
                <w:szCs w:val="20"/>
                <w:u w:val="none"/>
              </w:rPr>
              <w:t xml:space="preserve"> Éviter d'utiliser le moteur au régime minimum de tours ou sans charge pendant de longues périodes (supérieures à 20-30 minutes).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Lors du fonctionnement au régime minimum ou sans charge, le turbocompresseur est à basse pression dans la chambre d'échappement </w:t>
            </w:r>
            <w:r>
              <w:rPr>
                <w:b/>
                <w:bCs/>
                <w:color w:val="00274C"/>
                <w:position w:val="-2"/>
                <w:sz w:val="20"/>
                <w:szCs w:val="20"/>
                <w:u w:val="none"/>
              </w:rPr>
              <w:t xml:space="preserve">C</w:t>
            </w:r>
            <w:r>
              <w:rPr>
                <w:color w:val="00274C"/>
                <w:position w:val="-2"/>
                <w:sz w:val="20"/>
                <w:szCs w:val="20"/>
                <w:u w:val="none"/>
              </w:rPr>
              <w:t xml:space="preserve"> et de refoulement de l'air </w:t>
            </w:r>
            <w:r>
              <w:rPr>
                <w:b/>
                <w:bCs/>
                <w:color w:val="00274C"/>
                <w:position w:val="-2"/>
                <w:sz w:val="20"/>
                <w:szCs w:val="20"/>
                <w:u w:val="none"/>
              </w:rPr>
              <w:t xml:space="preserve">D</w:t>
            </w:r>
            <w:r>
              <w:rPr>
                <w:color w:val="00274C"/>
                <w:position w:val="-2"/>
                <w:sz w:val="20"/>
                <w:szCs w:val="20"/>
                <w:u w:val="none"/>
              </w:rPr>
              <w:t xml:space="preserve"> , ce qui peut provoquer des écoulements d'huile par les joints d'étanchéité E aux extrémités de l'arbre. Même si cela ne provoque aucun dommage, cela peut être la cause de fumée bleue au cours de l'échappement lorsqu'on augmente à nouveau le nombre de tours et la charge du moteur.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66412028" name="name15226a9e74522ade2" descr="2.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3.jpg"/>
                          <pic:cNvPicPr/>
                        </pic:nvPicPr>
                        <pic:blipFill>
                          <a:blip r:embed="rId46456a9e74522adde"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2.52</w:t>
            </w:r>
            <w:r>
              <w:rPr>
                <w:position w:val="-210"/>
              </w:rPr>
              <w:drawing>
                <wp:inline distT="0" distB="0" distL="0" distR="0">
                  <wp:extent cx="2232000" cy="1389600"/>
                  <wp:effectExtent b="0" l="0" r="0" t="0"/>
                  <wp:docPr id="67765527" name="name91056a9e745236dc3" descr="2.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4.jpg"/>
                          <pic:cNvPicPr/>
                        </pic:nvPicPr>
                        <pic:blipFill>
                          <a:blip r:embed="rId83716a9e745236dbf" cstate="print"/>
                          <a:stretch>
                            <a:fillRect/>
                          </a:stretch>
                        </pic:blipFill>
                        <pic:spPr>
                          <a:xfrm>
                            <a:off x="0" y="0"/>
                            <a:ext cx="2232000" cy="1389600"/>
                          </a:xfrm>
                          <a:prstGeom prst="rect">
                            <a:avLst/>
                          </a:prstGeom>
                          <a:ln w="0">
                            <a:noFill/>
                          </a:ln>
                        </pic:spPr>
                      </pic:pic>
                    </a:graphicData>
                  </a:graphic>
                </wp:inline>
              </w:drawing>
            </w:r>
            <w:r>
              <w:rPr>
                <w:b/>
                <w:bCs/>
                <w:color w:val="00274C"/>
                <w:position w:val="0"/>
                <w:sz w:val="20"/>
                <w:szCs w:val="20"/>
                <w:u w:val="none"/>
              </w:rPr>
              <w:br/>
              <w:br/>
              <w:br/>
              <w:t xml:space="preserve">Fig 2.53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2.18.3 Avant d'installer un nouveau turbocompresseur</w:t>
            </w: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6864113" name="name47546a9e74523d5e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0006a9e74523d5e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Ne pas retirer le turbocompresseur de la boite avec une seule main.</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Ne pas le soulever du coté admission.</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Retirer le turbocompresseur de la boite avec vos deux mains.</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S'assurer de porter des gants propres.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55375106" name="name99276a9e7452498a8" descr="imm2_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3.jpg"/>
                          <pic:cNvPicPr/>
                        </pic:nvPicPr>
                        <pic:blipFill>
                          <a:blip r:embed="rId58576a9e7452498a5"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2.54</w:t>
            </w:r>
          </w:p>
        </w:tc>
      </w:tr>
      <w:tr>
        <w:trPr>
          <w:trHeight w:val="0" w:hRule="atLeast"/>
        </w:trPr>
        <w:tc>
          <w:tcPr>
            <w:tcW w:w="0" w:type="auto"/>
            <w:tcMar>
              <w:top w:w="150" w:type="dxa"/>
              <w:left w:w="150" w:type="dxa"/>
              <w:bottom w:w="150" w:type="dxa"/>
              <w:right w:w="150" w:type="dxa"/>
            </w:tcMar>
            <w:vAlign w:val="center"/>
          </w:tcPr>
          <w:p>
            <w:pPr>
              <w:numPr>
                <w:ilvl w:val="0"/>
                <w:numId w:val="16404"/>
              </w:numPr>
              <w:spacing w:before="0" w:after="0" w:line="262" w:lineRule="auto"/>
              <w:jc w:val="left"/>
              <w:rPr>
                <w:color w:val="00274C"/>
                <w:sz w:val="20"/>
                <w:szCs w:val="20"/>
              </w:rPr>
            </w:pPr>
            <w:r>
              <w:rPr>
                <w:color w:val="00274C"/>
                <w:position w:val="-2"/>
                <w:sz w:val="20"/>
                <w:szCs w:val="20"/>
                <w:u w:val="none"/>
              </w:rPr>
              <w:t xml:space="preserve">Éviter de le soulever du côté de l'admission </w:t>
            </w:r>
            <w:r>
              <w:rPr>
                <w:b/>
                <w:bCs/>
                <w:color w:val="00274C"/>
                <w:position w:val="-2"/>
                <w:sz w:val="20"/>
                <w:szCs w:val="20"/>
                <w:u w:val="none"/>
              </w:rPr>
              <w:t xml:space="preserve">G</w:t>
            </w:r>
            <w:r>
              <w:rPr>
                <w:color w:val="00274C"/>
                <w:position w:val="-2"/>
                <w:sz w:val="20"/>
                <w:szCs w:val="20"/>
                <w:u w:val="none"/>
              </w:rPr>
              <w:t xml:space="preserve"> .</w:t>
            </w:r>
          </w:p>
          <w:p>
            <w:pPr>
              <w:numPr>
                <w:ilvl w:val="0"/>
                <w:numId w:val="16404"/>
              </w:numPr>
              <w:spacing w:before="0" w:after="0" w:line="262" w:lineRule="auto"/>
              <w:jc w:val="left"/>
              <w:rPr>
                <w:color w:val="00274C"/>
                <w:sz w:val="20"/>
                <w:szCs w:val="20"/>
              </w:rPr>
            </w:pPr>
            <w:r>
              <w:rPr>
                <w:color w:val="00274C"/>
                <w:position w:val="-2"/>
                <w:sz w:val="20"/>
                <w:szCs w:val="20"/>
                <w:u w:val="none"/>
              </w:rPr>
              <w:t xml:space="preserve">Retirer le bouchon de protection </w:t>
            </w:r>
            <w:r>
              <w:rPr>
                <w:b/>
                <w:bCs/>
                <w:color w:val="00274C"/>
                <w:position w:val="-2"/>
                <w:sz w:val="20"/>
                <w:szCs w:val="20"/>
                <w:u w:val="none"/>
              </w:rPr>
              <w:t xml:space="preserve">F</w:t>
            </w:r>
            <w:r>
              <w:rPr>
                <w:color w:val="00274C"/>
                <w:position w:val="-2"/>
                <w:sz w:val="20"/>
                <w:szCs w:val="20"/>
                <w:u w:val="none"/>
              </w:rPr>
              <w:t xml:space="preserve"> et vérifier la présence éventuelle de jeux axiaux et radiaux excessifs de l'arbre.</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38829074" name="name48226a9e7452516c5" descr="imm2_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4.jpg"/>
                          <pic:cNvPicPr/>
                        </pic:nvPicPr>
                        <pic:blipFill>
                          <a:blip r:embed="rId81566a9e7452516c2"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2.55</w:t>
            </w:r>
          </w:p>
        </w:tc>
      </w:tr>
      <w:tr>
        <w:trPr>
          <w:trHeight w:val="0" w:hRule="atLeast"/>
        </w:trPr>
        <w:tc>
          <w:tcPr>
            <w:tcW w:w="0" w:type="auto"/>
            <w:tcMar>
              <w:top w:w="150" w:type="dxa"/>
              <w:left w:w="150" w:type="dxa"/>
              <w:bottom w:w="150" w:type="dxa"/>
              <w:right w:w="150" w:type="dxa"/>
            </w:tcMar>
            <w:vAlign w:val="center"/>
          </w:tcPr>
          <w:p>
            <w:pPr>
              <w:numPr>
                <w:ilvl w:val="0"/>
                <w:numId w:val="16405"/>
              </w:numPr>
              <w:spacing w:before="0" w:after="0" w:line="262" w:lineRule="auto"/>
              <w:jc w:val="left"/>
              <w:rPr>
                <w:color w:val="00274C"/>
                <w:sz w:val="20"/>
                <w:szCs w:val="20"/>
              </w:rPr>
            </w:pPr>
            <w:r>
              <w:rPr>
                <w:color w:val="00274C"/>
                <w:position w:val="-2"/>
                <w:sz w:val="20"/>
                <w:szCs w:val="20"/>
                <w:u w:val="none"/>
              </w:rPr>
              <w:t xml:space="preserve">Contrôler la présence d'éventuels signes de frottement de la turbine sur le corps du turbocompresseur.</w:t>
            </w:r>
          </w:p>
          <w:p>
            <w:pPr>
              <w:numPr>
                <w:ilvl w:val="0"/>
                <w:numId w:val="16405"/>
              </w:numPr>
              <w:spacing w:before="0" w:after="0" w:line="262" w:lineRule="auto"/>
              <w:jc w:val="left"/>
              <w:rPr>
                <w:color w:val="00274C"/>
                <w:sz w:val="20"/>
                <w:szCs w:val="20"/>
              </w:rPr>
            </w:pPr>
            <w:r>
              <w:rPr>
                <w:color w:val="00274C"/>
                <w:position w:val="-2"/>
                <w:sz w:val="20"/>
                <w:szCs w:val="20"/>
                <w:u w:val="none"/>
              </w:rPr>
              <w:t xml:space="preserve">Contrôler la présence d'éventuelles traces de fuite d'huile sur le corps du turbocompresseur.</w:t>
            </w:r>
          </w:p>
          <w:p>
            <w:pPr>
              <w:numPr>
                <w:ilvl w:val="0"/>
                <w:numId w:val="16405"/>
              </w:numPr>
              <w:spacing w:before="0" w:after="0" w:line="262" w:lineRule="auto"/>
              <w:jc w:val="left"/>
              <w:rPr>
                <w:color w:val="00274C"/>
                <w:sz w:val="20"/>
                <w:szCs w:val="20"/>
              </w:rPr>
            </w:pPr>
            <w:r>
              <w:rPr>
                <w:color w:val="00274C"/>
                <w:position w:val="-2"/>
                <w:sz w:val="20"/>
                <w:szCs w:val="20"/>
                <w:u w:val="none"/>
              </w:rPr>
              <w:t xml:space="preserve">Après avoir effectué tous les contrôles, remettre en place le capuchon </w:t>
            </w:r>
            <w:r>
              <w:rPr>
                <w:b/>
                <w:bCs/>
                <w:color w:val="00274C"/>
                <w:position w:val="-2"/>
                <w:sz w:val="20"/>
                <w:szCs w:val="20"/>
                <w:u w:val="none"/>
              </w:rPr>
              <w:t xml:space="preserve">F</w:t>
            </w:r>
            <w:r>
              <w:rPr>
                <w:color w:val="00274C"/>
                <w:position w:val="-2"/>
                <w:sz w:val="20"/>
                <w:szCs w:val="20"/>
                <w:u w:val="none"/>
              </w:rPr>
              <w:t xml:space="preserve"> sur l'entrée d'admission H du turbocompresseur et ne pas l'enlever tant que le montage n'est pas achevé.</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67691857" name="name64896a9e74525983b" descr="2.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5.jpg"/>
                          <pic:cNvPicPr/>
                        </pic:nvPicPr>
                        <pic:blipFill>
                          <a:blip r:embed="rId93786a9e745259838"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2.56</w:t>
            </w:r>
          </w:p>
        </w:tc>
      </w:tr>
      <w:tr>
        <w:trPr>
          <w:trHeight w:val="0" w:hRule="atLeast"/>
        </w:trPr>
        <w:tc>
          <w:tcPr>
            <w:tcW w:w="0" w:type="auto"/>
            <w:tcMar>
              <w:top w:w="150" w:type="dxa"/>
              <w:left w:w="150" w:type="dxa"/>
              <w:bottom w:w="150" w:type="dxa"/>
              <w:right w:w="150" w:type="dxa"/>
            </w:tcMar>
            <w:vAlign w:val="center"/>
          </w:tcPr>
          <w:p>
            <w:pPr>
              <w:numPr>
                <w:ilvl w:val="0"/>
                <w:numId w:val="16406"/>
              </w:numPr>
              <w:spacing w:before="0" w:after="0" w:line="262" w:lineRule="auto"/>
              <w:jc w:val="left"/>
              <w:rPr>
                <w:color w:val="00274C"/>
                <w:sz w:val="20"/>
                <w:szCs w:val="20"/>
              </w:rPr>
            </w:pPr>
            <w:r>
              <w:rPr>
                <w:color w:val="00274C"/>
                <w:position w:val="-2"/>
                <w:sz w:val="20"/>
                <w:szCs w:val="20"/>
                <w:u w:val="none"/>
              </w:rPr>
              <w:t xml:space="preserve">Vérifier que les vis soient montées correctement et vernies.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70900891" name="name85836a9e74526074a" descr="imm2_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7.jpg"/>
                          <pic:cNvPicPr/>
                        </pic:nvPicPr>
                        <pic:blipFill>
                          <a:blip r:embed="rId85466a9e745260747"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2.57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2.18.4 Instructions pour l'installation</w:t>
            </w:r>
          </w:p>
          <w:p>
            <w:pPr>
              <w:numPr>
                <w:ilvl w:val="0"/>
                <w:numId w:val="16407"/>
              </w:numPr>
              <w:spacing w:before="0" w:after="0" w:line="262" w:lineRule="auto"/>
              <w:jc w:val="left"/>
              <w:rPr>
                <w:color w:val="00274C"/>
                <w:sz w:val="20"/>
                <w:szCs w:val="20"/>
              </w:rPr>
            </w:pPr>
            <w:r>
              <w:rPr>
                <w:color w:val="00274C"/>
                <w:position w:val="-2"/>
                <w:sz w:val="20"/>
                <w:szCs w:val="20"/>
                <w:u w:val="none"/>
              </w:rPr>
              <w:br/>
              <w:br/>
              <w:t xml:space="preserve">Retirer avec attention les bouchons de protection uniquement au moment du montage.  </w:t>
            </w:r>
            <w:r>
              <w:rPr>
                <w:color w:val="00274C"/>
                <w:position w:val="-2"/>
                <w:sz w:val="20"/>
                <w:szCs w:val="20"/>
                <w:u w:val="none"/>
              </w:rPr>
              <w:br/>
              <w:t xml:space="preserve">Faire attention à ne pas endommager les bouchons lors de leur retrait.</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19869183" name="name78186a9e745267c90" descr="imm2_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5.jpg"/>
                          <pic:cNvPicPr/>
                        </pic:nvPicPr>
                        <pic:blipFill>
                          <a:blip r:embed="rId93596a9e745267c8e"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2.68</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2.18.5 Instructions pour le remplacement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Toujours identifier la cause de la rupture du turbocompresseur avant de le remplacer. Éliminer la cause ayant provoqué la rupture du turbocompresseur avant de le remplacer par un nouveau.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 cas de doute, contacter le service d'assistance </w:t>
            </w:r>
            <w:r>
              <w:rPr>
                <w:b/>
                <w:bCs/>
                <w:color w:val="00274C"/>
                <w:position w:val="-2"/>
                <w:sz w:val="20"/>
                <w:szCs w:val="20"/>
                <w:u w:val="none"/>
              </w:rPr>
              <w:t xml:space="preserve">KOHLER</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5377620" name="name86776a9e74526d2e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8336a9e74526d2e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Le non-respect de ces instructions peut provoquer des dommages au turbocompresseur et dans ce cas, la garantie n'est plus valable.</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La modification de l'étalonnage du turbocompresseur endommage le turbocompresseur ou le moteur.</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Utiliser les bons joints d'étanchéité et éviter d'obstruer les trous lors du montage de ceux-ci.</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Se reporter au manuel du moteur/véhicule pour : le bon type d'huile et la quantité, le couple de serrage des composants et les instructions d'installation.</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Si le joint couvre une partie du trou d'entrée de l'huile, il réduit l'alimentation de l'huile au turbo, si une partie du joint se détache, cela peut totalement arrêter le flux d'huile.</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Éviter la saleté / les détritus pendant l'installation du turbocompresseur.</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Avant de monter le turbocompresseur, vérifier que le code du composant soit correct pour le type de moteur, le montage d'un turbocompresseur incorrect peut endommager le turbo / moteur et dans ce cas, la garantie n'est plus valable.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Dispositif équilibreur (option)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Le dispositif équilibreur est composé d'un vilebrequin spécifique qui actionne 2 arbres supplémentaires (équilibreurs). Les équilibreurs ont des contrepoids qui s'opposent au mouvement des masses alternées (vilebrequin - bielles - pistons) et leur rotation permet ainsi de réduire les vibrations causées par ces dernières.</w:t>
            </w:r>
            <w:r>
              <w:rPr>
                <w:color w:val="00274C"/>
                <w:position w:val="-2"/>
                <w:sz w:val="20"/>
                <w:szCs w:val="20"/>
                <w:u w:val="none"/>
              </w:rPr>
              <w:br/>
              <w:br/>
              <w:t xml:space="preserve">Le dispositif s'étend sous le vilebrequin, fixé sur le carter et fermé par le carter de l'huile.</w:t>
            </w:r>
            <w:r>
              <w:rPr>
                <w:b/>
                <w:bCs/>
                <w:color w:val="00274C"/>
                <w:position w:val="-2"/>
                <w:sz w:val="20"/>
                <w:szCs w:val="20"/>
                <w:u w:val="none"/>
              </w:rPr>
              <w:br/>
              <w:br/>
              <w:br/>
              <w:br/>
              <w:t xml:space="preserve">Tab 2.42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Vilebrequin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Engrenage de commande des arbres équilibreurs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 de support des arbres équilibreurs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Arbre équilibreur conducteur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Arbre équilibreur conduit</w:t>
                  </w:r>
                </w:p>
              </w:tc>
            </w:tr>
          </w:tbl>
          <w:p/>
        </w:tc>
        <w:tc>
          <w:tcPr>
            <w:tcW w:w="0" w:type="auto"/>
            <w:tcMar>
              <w:top w:w="150" w:type="dxa"/>
              <w:left w:w="150" w:type="dxa"/>
              <w:bottom w:w="150" w:type="dxa"/>
              <w:right w:w="150" w:type="dxa"/>
            </w:tcMar>
            <w:vAlign w:val="top"/>
          </w:tcPr>
          <w:p>
            <w:r>
              <w:rPr>
                <w:position w:val="-296"/>
              </w:rPr>
              <w:drawing>
                <wp:inline distT="0" distB="0" distL="0" distR="0">
                  <wp:extent cx="1936800" cy="1922400"/>
                  <wp:effectExtent b="0" l="0" r="0" t="0"/>
                  <wp:docPr id="80551727" name="name80266a9e7452801b0" descr="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6.jpg"/>
                          <pic:cNvPicPr/>
                        </pic:nvPicPr>
                        <pic:blipFill>
                          <a:blip r:embed="rId19306a9e7452801ad" cstate="print"/>
                          <a:stretch>
                            <a:fillRect/>
                          </a:stretch>
                        </pic:blipFill>
                        <pic:spPr>
                          <a:xfrm>
                            <a:off x="0" y="0"/>
                            <a:ext cx="1936800" cy="1922400"/>
                          </a:xfrm>
                          <a:prstGeom prst="rect">
                            <a:avLst/>
                          </a:prstGeom>
                          <a:ln w="0">
                            <a:noFill/>
                          </a:ln>
                        </pic:spPr>
                      </pic:pic>
                    </a:graphicData>
                  </a:graphic>
                </wp:inline>
              </w:drawing>
            </w:r>
            <w:r>
              <w:rPr>
                <w:b/>
                <w:bCs/>
                <w:color w:val="00274C"/>
                <w:position w:val="0"/>
                <w:sz w:val="20"/>
                <w:szCs w:val="20"/>
                <w:u w:val="none"/>
              </w:rPr>
              <w:br/>
              <w:t xml:space="preserve">Fig 2.59</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6407">
    <w:multiLevelType w:val="hybridMultilevel"/>
    <w:lvl w:ilvl="0" w:tplc="55941634">
      <w:start w:val="1"/>
      <w:numFmt w:val="decimal"/>
      <w:lvlText w:val="%1."/>
      <w:lvlJc w:val="left"/>
      <w:pPr>
        <w:ind w:left="720" w:hanging="360"/>
      </w:pPr>
    </w:lvl>
    <w:lvl w:ilvl="1" w:tplc="55941634" w:tentative="1">
      <w:start w:val="1"/>
      <w:numFmt w:val="lowerLetter"/>
      <w:lvlText w:val="%2."/>
      <w:lvlJc w:val="left"/>
      <w:pPr>
        <w:ind w:left="1440" w:hanging="360"/>
      </w:pPr>
    </w:lvl>
    <w:lvl w:ilvl="2" w:tplc="55941634" w:tentative="1">
      <w:start w:val="1"/>
      <w:numFmt w:val="lowerRoman"/>
      <w:lvlText w:val="%3."/>
      <w:lvlJc w:val="right"/>
      <w:pPr>
        <w:ind w:left="2160" w:hanging="180"/>
      </w:pPr>
    </w:lvl>
    <w:lvl w:ilvl="3" w:tplc="55941634" w:tentative="1">
      <w:start w:val="1"/>
      <w:numFmt w:val="decimal"/>
      <w:lvlText w:val="%4."/>
      <w:lvlJc w:val="left"/>
      <w:pPr>
        <w:ind w:left="2880" w:hanging="360"/>
      </w:pPr>
    </w:lvl>
    <w:lvl w:ilvl="4" w:tplc="55941634" w:tentative="1">
      <w:start w:val="1"/>
      <w:numFmt w:val="lowerLetter"/>
      <w:lvlText w:val="%5."/>
      <w:lvlJc w:val="left"/>
      <w:pPr>
        <w:ind w:left="3600" w:hanging="360"/>
      </w:pPr>
    </w:lvl>
    <w:lvl w:ilvl="5" w:tplc="55941634" w:tentative="1">
      <w:start w:val="1"/>
      <w:numFmt w:val="lowerRoman"/>
      <w:lvlText w:val="%6."/>
      <w:lvlJc w:val="right"/>
      <w:pPr>
        <w:ind w:left="4320" w:hanging="180"/>
      </w:pPr>
    </w:lvl>
    <w:lvl w:ilvl="6" w:tplc="55941634" w:tentative="1">
      <w:start w:val="1"/>
      <w:numFmt w:val="decimal"/>
      <w:lvlText w:val="%7."/>
      <w:lvlJc w:val="left"/>
      <w:pPr>
        <w:ind w:left="5040" w:hanging="360"/>
      </w:pPr>
    </w:lvl>
    <w:lvl w:ilvl="7" w:tplc="55941634" w:tentative="1">
      <w:start w:val="1"/>
      <w:numFmt w:val="lowerLetter"/>
      <w:lvlText w:val="%8."/>
      <w:lvlJc w:val="left"/>
      <w:pPr>
        <w:ind w:left="5760" w:hanging="360"/>
      </w:pPr>
    </w:lvl>
    <w:lvl w:ilvl="8" w:tplc="55941634" w:tentative="1">
      <w:start w:val="1"/>
      <w:numFmt w:val="lowerRoman"/>
      <w:lvlText w:val="%9."/>
      <w:lvlJc w:val="right"/>
      <w:pPr>
        <w:ind w:left="6480" w:hanging="180"/>
      </w:pPr>
    </w:lvl>
  </w:abstractNum>
  <w:abstractNum w:abstractNumId="16406">
    <w:multiLevelType w:val="hybridMultilevel"/>
    <w:lvl w:ilvl="0" w:tplc="26885976">
      <w:start w:val="1"/>
      <w:numFmt w:val="decimal"/>
      <w:lvlText w:val="%1."/>
      <w:lvlJc w:val="left"/>
      <w:pPr>
        <w:ind w:left="720" w:hanging="360"/>
      </w:pPr>
    </w:lvl>
    <w:lvl w:ilvl="1" w:tplc="26885976" w:tentative="1">
      <w:start w:val="1"/>
      <w:numFmt w:val="lowerLetter"/>
      <w:lvlText w:val="%2."/>
      <w:lvlJc w:val="left"/>
      <w:pPr>
        <w:ind w:left="1440" w:hanging="360"/>
      </w:pPr>
    </w:lvl>
    <w:lvl w:ilvl="2" w:tplc="26885976" w:tentative="1">
      <w:start w:val="1"/>
      <w:numFmt w:val="lowerRoman"/>
      <w:lvlText w:val="%3."/>
      <w:lvlJc w:val="right"/>
      <w:pPr>
        <w:ind w:left="2160" w:hanging="180"/>
      </w:pPr>
    </w:lvl>
    <w:lvl w:ilvl="3" w:tplc="26885976" w:tentative="1">
      <w:start w:val="1"/>
      <w:numFmt w:val="decimal"/>
      <w:lvlText w:val="%4."/>
      <w:lvlJc w:val="left"/>
      <w:pPr>
        <w:ind w:left="2880" w:hanging="360"/>
      </w:pPr>
    </w:lvl>
    <w:lvl w:ilvl="4" w:tplc="26885976" w:tentative="1">
      <w:start w:val="1"/>
      <w:numFmt w:val="lowerLetter"/>
      <w:lvlText w:val="%5."/>
      <w:lvlJc w:val="left"/>
      <w:pPr>
        <w:ind w:left="3600" w:hanging="360"/>
      </w:pPr>
    </w:lvl>
    <w:lvl w:ilvl="5" w:tplc="26885976" w:tentative="1">
      <w:start w:val="1"/>
      <w:numFmt w:val="lowerRoman"/>
      <w:lvlText w:val="%6."/>
      <w:lvlJc w:val="right"/>
      <w:pPr>
        <w:ind w:left="4320" w:hanging="180"/>
      </w:pPr>
    </w:lvl>
    <w:lvl w:ilvl="6" w:tplc="26885976" w:tentative="1">
      <w:start w:val="1"/>
      <w:numFmt w:val="decimal"/>
      <w:lvlText w:val="%7."/>
      <w:lvlJc w:val="left"/>
      <w:pPr>
        <w:ind w:left="5040" w:hanging="360"/>
      </w:pPr>
    </w:lvl>
    <w:lvl w:ilvl="7" w:tplc="26885976" w:tentative="1">
      <w:start w:val="1"/>
      <w:numFmt w:val="lowerLetter"/>
      <w:lvlText w:val="%8."/>
      <w:lvlJc w:val="left"/>
      <w:pPr>
        <w:ind w:left="5760" w:hanging="360"/>
      </w:pPr>
    </w:lvl>
    <w:lvl w:ilvl="8" w:tplc="26885976" w:tentative="1">
      <w:start w:val="1"/>
      <w:numFmt w:val="lowerRoman"/>
      <w:lvlText w:val="%9."/>
      <w:lvlJc w:val="right"/>
      <w:pPr>
        <w:ind w:left="6480" w:hanging="180"/>
      </w:pPr>
    </w:lvl>
  </w:abstractNum>
  <w:abstractNum w:abstractNumId="16405">
    <w:multiLevelType w:val="hybridMultilevel"/>
    <w:lvl w:ilvl="0" w:tplc="59302026">
      <w:start w:val="1"/>
      <w:numFmt w:val="decimal"/>
      <w:lvlText w:val="%1."/>
      <w:lvlJc w:val="left"/>
      <w:pPr>
        <w:ind w:left="720" w:hanging="360"/>
      </w:pPr>
    </w:lvl>
    <w:lvl w:ilvl="1" w:tplc="59302026" w:tentative="1">
      <w:start w:val="1"/>
      <w:numFmt w:val="lowerLetter"/>
      <w:lvlText w:val="%2."/>
      <w:lvlJc w:val="left"/>
      <w:pPr>
        <w:ind w:left="1440" w:hanging="360"/>
      </w:pPr>
    </w:lvl>
    <w:lvl w:ilvl="2" w:tplc="59302026" w:tentative="1">
      <w:start w:val="1"/>
      <w:numFmt w:val="lowerRoman"/>
      <w:lvlText w:val="%3."/>
      <w:lvlJc w:val="right"/>
      <w:pPr>
        <w:ind w:left="2160" w:hanging="180"/>
      </w:pPr>
    </w:lvl>
    <w:lvl w:ilvl="3" w:tplc="59302026" w:tentative="1">
      <w:start w:val="1"/>
      <w:numFmt w:val="decimal"/>
      <w:lvlText w:val="%4."/>
      <w:lvlJc w:val="left"/>
      <w:pPr>
        <w:ind w:left="2880" w:hanging="360"/>
      </w:pPr>
    </w:lvl>
    <w:lvl w:ilvl="4" w:tplc="59302026" w:tentative="1">
      <w:start w:val="1"/>
      <w:numFmt w:val="lowerLetter"/>
      <w:lvlText w:val="%5."/>
      <w:lvlJc w:val="left"/>
      <w:pPr>
        <w:ind w:left="3600" w:hanging="360"/>
      </w:pPr>
    </w:lvl>
    <w:lvl w:ilvl="5" w:tplc="59302026" w:tentative="1">
      <w:start w:val="1"/>
      <w:numFmt w:val="lowerRoman"/>
      <w:lvlText w:val="%6."/>
      <w:lvlJc w:val="right"/>
      <w:pPr>
        <w:ind w:left="4320" w:hanging="180"/>
      </w:pPr>
    </w:lvl>
    <w:lvl w:ilvl="6" w:tplc="59302026" w:tentative="1">
      <w:start w:val="1"/>
      <w:numFmt w:val="decimal"/>
      <w:lvlText w:val="%7."/>
      <w:lvlJc w:val="left"/>
      <w:pPr>
        <w:ind w:left="5040" w:hanging="360"/>
      </w:pPr>
    </w:lvl>
    <w:lvl w:ilvl="7" w:tplc="59302026" w:tentative="1">
      <w:start w:val="1"/>
      <w:numFmt w:val="lowerLetter"/>
      <w:lvlText w:val="%8."/>
      <w:lvlJc w:val="left"/>
      <w:pPr>
        <w:ind w:left="5760" w:hanging="360"/>
      </w:pPr>
    </w:lvl>
    <w:lvl w:ilvl="8" w:tplc="59302026" w:tentative="1">
      <w:start w:val="1"/>
      <w:numFmt w:val="lowerRoman"/>
      <w:lvlText w:val="%9."/>
      <w:lvlJc w:val="right"/>
      <w:pPr>
        <w:ind w:left="6480" w:hanging="180"/>
      </w:pPr>
    </w:lvl>
  </w:abstractNum>
  <w:abstractNum w:abstractNumId="16404">
    <w:multiLevelType w:val="hybridMultilevel"/>
    <w:lvl w:ilvl="0" w:tplc="54304264">
      <w:start w:val="1"/>
      <w:numFmt w:val="decimal"/>
      <w:lvlText w:val="%1."/>
      <w:lvlJc w:val="left"/>
      <w:pPr>
        <w:ind w:left="720" w:hanging="360"/>
      </w:pPr>
    </w:lvl>
    <w:lvl w:ilvl="1" w:tplc="54304264" w:tentative="1">
      <w:start w:val="1"/>
      <w:numFmt w:val="lowerLetter"/>
      <w:lvlText w:val="%2."/>
      <w:lvlJc w:val="left"/>
      <w:pPr>
        <w:ind w:left="1440" w:hanging="360"/>
      </w:pPr>
    </w:lvl>
    <w:lvl w:ilvl="2" w:tplc="54304264" w:tentative="1">
      <w:start w:val="1"/>
      <w:numFmt w:val="lowerRoman"/>
      <w:lvlText w:val="%3."/>
      <w:lvlJc w:val="right"/>
      <w:pPr>
        <w:ind w:left="2160" w:hanging="180"/>
      </w:pPr>
    </w:lvl>
    <w:lvl w:ilvl="3" w:tplc="54304264" w:tentative="1">
      <w:start w:val="1"/>
      <w:numFmt w:val="decimal"/>
      <w:lvlText w:val="%4."/>
      <w:lvlJc w:val="left"/>
      <w:pPr>
        <w:ind w:left="2880" w:hanging="360"/>
      </w:pPr>
    </w:lvl>
    <w:lvl w:ilvl="4" w:tplc="54304264" w:tentative="1">
      <w:start w:val="1"/>
      <w:numFmt w:val="lowerLetter"/>
      <w:lvlText w:val="%5."/>
      <w:lvlJc w:val="left"/>
      <w:pPr>
        <w:ind w:left="3600" w:hanging="360"/>
      </w:pPr>
    </w:lvl>
    <w:lvl w:ilvl="5" w:tplc="54304264" w:tentative="1">
      <w:start w:val="1"/>
      <w:numFmt w:val="lowerRoman"/>
      <w:lvlText w:val="%6."/>
      <w:lvlJc w:val="right"/>
      <w:pPr>
        <w:ind w:left="4320" w:hanging="180"/>
      </w:pPr>
    </w:lvl>
    <w:lvl w:ilvl="6" w:tplc="54304264" w:tentative="1">
      <w:start w:val="1"/>
      <w:numFmt w:val="decimal"/>
      <w:lvlText w:val="%7."/>
      <w:lvlJc w:val="left"/>
      <w:pPr>
        <w:ind w:left="5040" w:hanging="360"/>
      </w:pPr>
    </w:lvl>
    <w:lvl w:ilvl="7" w:tplc="54304264" w:tentative="1">
      <w:start w:val="1"/>
      <w:numFmt w:val="lowerLetter"/>
      <w:lvlText w:val="%8."/>
      <w:lvlJc w:val="left"/>
      <w:pPr>
        <w:ind w:left="5760" w:hanging="360"/>
      </w:pPr>
    </w:lvl>
    <w:lvl w:ilvl="8" w:tplc="54304264" w:tentative="1">
      <w:start w:val="1"/>
      <w:numFmt w:val="lowerRoman"/>
      <w:lvlText w:val="%9."/>
      <w:lvlJc w:val="right"/>
      <w:pPr>
        <w:ind w:left="6480" w:hanging="180"/>
      </w:pPr>
    </w:lvl>
  </w:abstractNum>
  <w:abstractNum w:abstractNumId="16403">
    <w:multiLevelType w:val="hybridMultilevel"/>
    <w:lvl w:ilvl="0" w:tplc="11128433">
      <w:start w:val="1"/>
      <w:numFmt w:val="decimal"/>
      <w:lvlText w:val="%1."/>
      <w:lvlJc w:val="left"/>
      <w:pPr>
        <w:ind w:left="720" w:hanging="360"/>
      </w:pPr>
    </w:lvl>
    <w:lvl w:ilvl="1" w:tplc="11128433" w:tentative="1">
      <w:start w:val="1"/>
      <w:numFmt w:val="lowerLetter"/>
      <w:lvlText w:val="%2."/>
      <w:lvlJc w:val="left"/>
      <w:pPr>
        <w:ind w:left="1440" w:hanging="360"/>
      </w:pPr>
    </w:lvl>
    <w:lvl w:ilvl="2" w:tplc="11128433" w:tentative="1">
      <w:start w:val="1"/>
      <w:numFmt w:val="lowerRoman"/>
      <w:lvlText w:val="%3."/>
      <w:lvlJc w:val="right"/>
      <w:pPr>
        <w:ind w:left="2160" w:hanging="180"/>
      </w:pPr>
    </w:lvl>
    <w:lvl w:ilvl="3" w:tplc="11128433" w:tentative="1">
      <w:start w:val="1"/>
      <w:numFmt w:val="decimal"/>
      <w:lvlText w:val="%4."/>
      <w:lvlJc w:val="left"/>
      <w:pPr>
        <w:ind w:left="2880" w:hanging="360"/>
      </w:pPr>
    </w:lvl>
    <w:lvl w:ilvl="4" w:tplc="11128433" w:tentative="1">
      <w:start w:val="1"/>
      <w:numFmt w:val="lowerLetter"/>
      <w:lvlText w:val="%5."/>
      <w:lvlJc w:val="left"/>
      <w:pPr>
        <w:ind w:left="3600" w:hanging="360"/>
      </w:pPr>
    </w:lvl>
    <w:lvl w:ilvl="5" w:tplc="11128433" w:tentative="1">
      <w:start w:val="1"/>
      <w:numFmt w:val="lowerRoman"/>
      <w:lvlText w:val="%6."/>
      <w:lvlJc w:val="right"/>
      <w:pPr>
        <w:ind w:left="4320" w:hanging="180"/>
      </w:pPr>
    </w:lvl>
    <w:lvl w:ilvl="6" w:tplc="11128433" w:tentative="1">
      <w:start w:val="1"/>
      <w:numFmt w:val="decimal"/>
      <w:lvlText w:val="%7."/>
      <w:lvlJc w:val="left"/>
      <w:pPr>
        <w:ind w:left="5040" w:hanging="360"/>
      </w:pPr>
    </w:lvl>
    <w:lvl w:ilvl="7" w:tplc="11128433" w:tentative="1">
      <w:start w:val="1"/>
      <w:numFmt w:val="lowerLetter"/>
      <w:lvlText w:val="%8."/>
      <w:lvlJc w:val="left"/>
      <w:pPr>
        <w:ind w:left="5760" w:hanging="360"/>
      </w:pPr>
    </w:lvl>
    <w:lvl w:ilvl="8" w:tplc="11128433" w:tentative="1">
      <w:start w:val="1"/>
      <w:numFmt w:val="lowerRoman"/>
      <w:lvlText w:val="%9."/>
      <w:lvlJc w:val="right"/>
      <w:pPr>
        <w:ind w:left="6480" w:hanging="180"/>
      </w:pPr>
    </w:lvl>
  </w:abstractNum>
  <w:abstractNum w:abstractNumId="16402">
    <w:multiLevelType w:val="hybridMultilevel"/>
    <w:lvl w:ilvl="0" w:tplc="55392258">
      <w:start w:val="1"/>
      <w:numFmt w:val="decimal"/>
      <w:lvlText w:val="%1."/>
      <w:lvlJc w:val="left"/>
      <w:pPr>
        <w:ind w:left="720" w:hanging="360"/>
      </w:pPr>
    </w:lvl>
    <w:lvl w:ilvl="1" w:tplc="55392258" w:tentative="1">
      <w:start w:val="1"/>
      <w:numFmt w:val="decimal"/>
      <w:lvlText w:val="%2."/>
      <w:lvlJc w:val="left"/>
      <w:pPr>
        <w:ind w:left="1440" w:hanging="360"/>
      </w:pPr>
    </w:lvl>
    <w:lvl w:ilvl="2" w:tplc="55392258" w:tentative="1">
      <w:start w:val="1"/>
      <w:numFmt w:val="lowerRoman"/>
      <w:lvlText w:val="%3."/>
      <w:lvlJc w:val="right"/>
      <w:pPr>
        <w:ind w:left="2160" w:hanging="180"/>
      </w:pPr>
    </w:lvl>
    <w:lvl w:ilvl="3" w:tplc="55392258" w:tentative="1">
      <w:start w:val="1"/>
      <w:numFmt w:val="decimal"/>
      <w:lvlText w:val="%4."/>
      <w:lvlJc w:val="left"/>
      <w:pPr>
        <w:ind w:left="2880" w:hanging="360"/>
      </w:pPr>
    </w:lvl>
    <w:lvl w:ilvl="4" w:tplc="55392258" w:tentative="1">
      <w:start w:val="1"/>
      <w:numFmt w:val="lowerLetter"/>
      <w:lvlText w:val="%5."/>
      <w:lvlJc w:val="left"/>
      <w:pPr>
        <w:ind w:left="3600" w:hanging="360"/>
      </w:pPr>
    </w:lvl>
    <w:lvl w:ilvl="5" w:tplc="55392258" w:tentative="1">
      <w:start w:val="1"/>
      <w:numFmt w:val="lowerRoman"/>
      <w:lvlText w:val="%6."/>
      <w:lvlJc w:val="right"/>
      <w:pPr>
        <w:ind w:left="4320" w:hanging="180"/>
      </w:pPr>
    </w:lvl>
    <w:lvl w:ilvl="6" w:tplc="55392258" w:tentative="1">
      <w:start w:val="1"/>
      <w:numFmt w:val="decimal"/>
      <w:lvlText w:val="%7."/>
      <w:lvlJc w:val="left"/>
      <w:pPr>
        <w:ind w:left="5040" w:hanging="360"/>
      </w:pPr>
    </w:lvl>
    <w:lvl w:ilvl="7" w:tplc="55392258" w:tentative="1">
      <w:start w:val="1"/>
      <w:numFmt w:val="lowerLetter"/>
      <w:lvlText w:val="%8."/>
      <w:lvlJc w:val="left"/>
      <w:pPr>
        <w:ind w:left="5760" w:hanging="360"/>
      </w:pPr>
    </w:lvl>
    <w:lvl w:ilvl="8" w:tplc="55392258" w:tentative="1">
      <w:start w:val="1"/>
      <w:numFmt w:val="lowerRoman"/>
      <w:lvlText w:val="%9."/>
      <w:lvlJc w:val="right"/>
      <w:pPr>
        <w:ind w:left="6480" w:hanging="180"/>
      </w:pPr>
    </w:lvl>
  </w:abstractNum>
  <w:abstractNum w:abstractNumId="16401">
    <w:multiLevelType w:val="hybridMultilevel"/>
    <w:lvl w:ilvl="0" w:tplc="88851343">
      <w:start w:val="1"/>
      <w:numFmt w:val="decimal"/>
      <w:lvlText w:val="%1."/>
      <w:lvlJc w:val="left"/>
      <w:pPr>
        <w:ind w:left="720" w:hanging="360"/>
      </w:pPr>
    </w:lvl>
    <w:lvl w:ilvl="1" w:tplc="88851343" w:tentative="1">
      <w:start w:val="1"/>
      <w:numFmt w:val="lowerLetter"/>
      <w:lvlText w:val="%2."/>
      <w:lvlJc w:val="left"/>
      <w:pPr>
        <w:ind w:left="1440" w:hanging="360"/>
      </w:pPr>
    </w:lvl>
    <w:lvl w:ilvl="2" w:tplc="88851343" w:tentative="1">
      <w:start w:val="1"/>
      <w:numFmt w:val="lowerRoman"/>
      <w:lvlText w:val="%3."/>
      <w:lvlJc w:val="right"/>
      <w:pPr>
        <w:ind w:left="2160" w:hanging="180"/>
      </w:pPr>
    </w:lvl>
    <w:lvl w:ilvl="3" w:tplc="88851343" w:tentative="1">
      <w:start w:val="1"/>
      <w:numFmt w:val="decimal"/>
      <w:lvlText w:val="%4."/>
      <w:lvlJc w:val="left"/>
      <w:pPr>
        <w:ind w:left="2880" w:hanging="360"/>
      </w:pPr>
    </w:lvl>
    <w:lvl w:ilvl="4" w:tplc="88851343" w:tentative="1">
      <w:start w:val="1"/>
      <w:numFmt w:val="lowerLetter"/>
      <w:lvlText w:val="%5."/>
      <w:lvlJc w:val="left"/>
      <w:pPr>
        <w:ind w:left="3600" w:hanging="360"/>
      </w:pPr>
    </w:lvl>
    <w:lvl w:ilvl="5" w:tplc="88851343" w:tentative="1">
      <w:start w:val="1"/>
      <w:numFmt w:val="lowerRoman"/>
      <w:lvlText w:val="%6."/>
      <w:lvlJc w:val="right"/>
      <w:pPr>
        <w:ind w:left="4320" w:hanging="180"/>
      </w:pPr>
    </w:lvl>
    <w:lvl w:ilvl="6" w:tplc="88851343" w:tentative="1">
      <w:start w:val="1"/>
      <w:numFmt w:val="decimal"/>
      <w:lvlText w:val="%7."/>
      <w:lvlJc w:val="left"/>
      <w:pPr>
        <w:ind w:left="5040" w:hanging="360"/>
      </w:pPr>
    </w:lvl>
    <w:lvl w:ilvl="7" w:tplc="88851343" w:tentative="1">
      <w:start w:val="1"/>
      <w:numFmt w:val="lowerLetter"/>
      <w:lvlText w:val="%8."/>
      <w:lvlJc w:val="left"/>
      <w:pPr>
        <w:ind w:left="5760" w:hanging="360"/>
      </w:pPr>
    </w:lvl>
    <w:lvl w:ilvl="8" w:tplc="88851343" w:tentative="1">
      <w:start w:val="1"/>
      <w:numFmt w:val="lowerRoman"/>
      <w:lvlText w:val="%9."/>
      <w:lvlJc w:val="right"/>
      <w:pPr>
        <w:ind w:left="6480" w:hanging="180"/>
      </w:pPr>
    </w:lvl>
  </w:abstractNum>
  <w:abstractNum w:abstractNumId="16400">
    <w:multiLevelType w:val="hybridMultilevel"/>
    <w:lvl w:ilvl="0" w:tplc="69790756">
      <w:start w:val="1"/>
      <w:numFmt w:val="decimal"/>
      <w:lvlText w:val="%1."/>
      <w:lvlJc w:val="left"/>
      <w:pPr>
        <w:ind w:left="720" w:hanging="360"/>
      </w:pPr>
    </w:lvl>
    <w:lvl w:ilvl="1" w:tplc="69790756" w:tentative="1">
      <w:start w:val="1"/>
      <w:numFmt w:val="lowerLetter"/>
      <w:lvlText w:val="%2."/>
      <w:lvlJc w:val="left"/>
      <w:pPr>
        <w:ind w:left="1440" w:hanging="360"/>
      </w:pPr>
    </w:lvl>
    <w:lvl w:ilvl="2" w:tplc="69790756" w:tentative="1">
      <w:start w:val="1"/>
      <w:numFmt w:val="lowerRoman"/>
      <w:lvlText w:val="%3."/>
      <w:lvlJc w:val="right"/>
      <w:pPr>
        <w:ind w:left="2160" w:hanging="180"/>
      </w:pPr>
    </w:lvl>
    <w:lvl w:ilvl="3" w:tplc="69790756" w:tentative="1">
      <w:start w:val="1"/>
      <w:numFmt w:val="decimal"/>
      <w:lvlText w:val="%4."/>
      <w:lvlJc w:val="left"/>
      <w:pPr>
        <w:ind w:left="2880" w:hanging="360"/>
      </w:pPr>
    </w:lvl>
    <w:lvl w:ilvl="4" w:tplc="69790756" w:tentative="1">
      <w:start w:val="1"/>
      <w:numFmt w:val="lowerLetter"/>
      <w:lvlText w:val="%5."/>
      <w:lvlJc w:val="left"/>
      <w:pPr>
        <w:ind w:left="3600" w:hanging="360"/>
      </w:pPr>
    </w:lvl>
    <w:lvl w:ilvl="5" w:tplc="69790756" w:tentative="1">
      <w:start w:val="1"/>
      <w:numFmt w:val="lowerRoman"/>
      <w:lvlText w:val="%6."/>
      <w:lvlJc w:val="right"/>
      <w:pPr>
        <w:ind w:left="4320" w:hanging="180"/>
      </w:pPr>
    </w:lvl>
    <w:lvl w:ilvl="6" w:tplc="69790756" w:tentative="1">
      <w:start w:val="1"/>
      <w:numFmt w:val="decimal"/>
      <w:lvlText w:val="%7."/>
      <w:lvlJc w:val="left"/>
      <w:pPr>
        <w:ind w:left="5040" w:hanging="360"/>
      </w:pPr>
    </w:lvl>
    <w:lvl w:ilvl="7" w:tplc="69790756" w:tentative="1">
      <w:start w:val="1"/>
      <w:numFmt w:val="lowerLetter"/>
      <w:lvlText w:val="%8."/>
      <w:lvlJc w:val="left"/>
      <w:pPr>
        <w:ind w:left="5760" w:hanging="360"/>
      </w:pPr>
    </w:lvl>
    <w:lvl w:ilvl="8" w:tplc="69790756" w:tentative="1">
      <w:start w:val="1"/>
      <w:numFmt w:val="lowerRoman"/>
      <w:lvlText w:val="%9."/>
      <w:lvlJc w:val="right"/>
      <w:pPr>
        <w:ind w:left="6480" w:hanging="180"/>
      </w:pPr>
    </w:lvl>
  </w:abstractNum>
  <w:abstractNum w:abstractNumId="16399">
    <w:multiLevelType w:val="hybridMultilevel"/>
    <w:lvl w:ilvl="0" w:tplc="469951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6399">
    <w:abstractNumId w:val="16399"/>
  </w:num>
  <w:num w:numId="16400">
    <w:abstractNumId w:val="16400"/>
  </w:num>
  <w:num w:numId="16401">
    <w:abstractNumId w:val="16401"/>
  </w:num>
  <w:num w:numId="16402">
    <w:abstractNumId w:val="16402"/>
  </w:num>
  <w:num w:numId="16403">
    <w:abstractNumId w:val="16403"/>
  </w:num>
  <w:num w:numId="16404">
    <w:abstractNumId w:val="16404"/>
  </w:num>
  <w:num w:numId="16405">
    <w:abstractNumId w:val="16405"/>
  </w:num>
  <w:num w:numId="16406">
    <w:abstractNumId w:val="16406"/>
  </w:num>
  <w:num w:numId="16407">
    <w:abstractNumId w:val="164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221203724" Type="http://schemas.openxmlformats.org/officeDocument/2006/relationships/comments" Target="comments.xml"/><Relationship Id="rId404579625" Type="http://schemas.microsoft.com/office/2011/relationships/commentsExtended" Target="commentsExtended.xml"/><Relationship Id="rId27788342" Type="http://schemas.openxmlformats.org/officeDocument/2006/relationships/image" Target="media/imgrId27788342.jpg"/><Relationship Id="rId26816a9e744e1f8a4" Type="http://schemas.openxmlformats.org/officeDocument/2006/relationships/hyperlink" Target="https://iservice.lombardini.it/jsp/Template2/manuale.jsp?id=268&amp;parent=1527" TargetMode="External"/><Relationship Id="rId41376a9e744e22b2e" Type="http://schemas.openxmlformats.org/officeDocument/2006/relationships/hyperlink" Target="https://iservice.lombardini.it/jsp/Template2/manuale.jsp?id=281&amp;parent=1527" TargetMode="External"/><Relationship Id="rId20246a9e744f16021" Type="http://schemas.openxmlformats.org/officeDocument/2006/relationships/hyperlink" Target="https://iservice.lombardini.it/jsp/Template2/manuale.jsp?id=191&amp;parent=1000" TargetMode="External"/><Relationship Id="rId81446a9e744f16fed" Type="http://schemas.openxmlformats.org/officeDocument/2006/relationships/hyperlink" Target="https://iservice.lombardini.it/jsp/Template2/manuale.jsp?id=191&amp;parent=1000" TargetMode="External"/><Relationship Id="rId48686a9e744f48708" Type="http://schemas.openxmlformats.org/officeDocument/2006/relationships/hyperlink" Target="https://www.youtube.com/embed/Ig3XosQ8h0s?rel=0" TargetMode="External"/><Relationship Id="rId84316a9e745008a14" Type="http://schemas.openxmlformats.org/officeDocument/2006/relationships/hyperlink" Target="https://iservice.lombardini.it/jsp/Template2/manuale.jsp?id=113&amp;parent=1527" TargetMode="External"/><Relationship Id="rId65726a9e74520435d" Type="http://schemas.openxmlformats.org/officeDocument/2006/relationships/hyperlink" Target="https://iservice.lombardini.it/jsp/Template2/manuale.jsp?id=268&amp;parent=1136" TargetMode="External"/><Relationship Id="rId48976a9e74521d6a6" Type="http://schemas.openxmlformats.org/officeDocument/2006/relationships/hyperlink" Target="https://iservice.lombardini.it/jsp/Template2/manuale.jsp?id=268&amp;parent=1527" TargetMode="External"/><Relationship Id="rId55066a9e74521def1" Type="http://schemas.openxmlformats.org/officeDocument/2006/relationships/hyperlink" Target="https://iservice.lombardini.it/jsp/Template2/manuale.jsp?id=816&amp;parent=1527" TargetMode="External"/><Relationship Id="rId20926a9e744e37206" Type="http://schemas.openxmlformats.org/officeDocument/2006/relationships/image" Target="media/imgrId20926a9e744e37206.png"/><Relationship Id="rId30666a9e744e441d7" Type="http://schemas.openxmlformats.org/officeDocument/2006/relationships/image" Target="media/imgrId30666a9e744e441d7.jpg"/><Relationship Id="rId96976a9e744e48709" Type="http://schemas.openxmlformats.org/officeDocument/2006/relationships/image" Target="media/imgrId96976a9e744e48709.jpg"/><Relationship Id="rId96126a9e744e505de" Type="http://schemas.openxmlformats.org/officeDocument/2006/relationships/image" Target="media/imgrId96126a9e744e505de.jpg"/><Relationship Id="rId31426a9e744e58013" Type="http://schemas.openxmlformats.org/officeDocument/2006/relationships/image" Target="media/imgrId31426a9e744e58013.jpg"/><Relationship Id="rId52406a9e744e5f6e5" Type="http://schemas.openxmlformats.org/officeDocument/2006/relationships/image" Target="media/imgrId52406a9e744e5f6e5.jpg"/><Relationship Id="rId43826a9e744e671af" Type="http://schemas.openxmlformats.org/officeDocument/2006/relationships/image" Target="media/imgrId43826a9e744e671af.png"/><Relationship Id="rId21866a9e744e6eaff" Type="http://schemas.openxmlformats.org/officeDocument/2006/relationships/image" Target="media/imgrId21866a9e744e6eaff.png"/><Relationship Id="rId85656a9e744e799b4" Type="http://schemas.openxmlformats.org/officeDocument/2006/relationships/image" Target="media/imgrId85656a9e744e799b4.jpg"/><Relationship Id="rId43156a9e744e7e0c6" Type="http://schemas.openxmlformats.org/officeDocument/2006/relationships/image" Target="media/imgrId43156a9e744e7e0c6.jpg"/><Relationship Id="rId89506a9e744e858cf" Type="http://schemas.openxmlformats.org/officeDocument/2006/relationships/image" Target="media/imgrId89506a9e744e858cf.jpg"/><Relationship Id="rId98606a9e744e93068" Type="http://schemas.openxmlformats.org/officeDocument/2006/relationships/image" Target="media/imgrId98606a9e744e93068.png"/><Relationship Id="rId85396a9e744eab15c" Type="http://schemas.openxmlformats.org/officeDocument/2006/relationships/image" Target="media/imgrId85396a9e744eab15c.jpg"/><Relationship Id="rId49546a9e744eb76ea" Type="http://schemas.openxmlformats.org/officeDocument/2006/relationships/image" Target="media/imgrId49546a9e744eb76ea.jpg"/><Relationship Id="rId21726a9e744ec4d44" Type="http://schemas.openxmlformats.org/officeDocument/2006/relationships/image" Target="media/imgrId21726a9e744ec4d44.jpg"/><Relationship Id="rId36156a9e744ed50fa" Type="http://schemas.openxmlformats.org/officeDocument/2006/relationships/image" Target="media/imgrId36156a9e744ed50fa.jpg"/><Relationship Id="rId58526a9e744edbfef" Type="http://schemas.openxmlformats.org/officeDocument/2006/relationships/image" Target="media/imgrId58526a9e744edbfef.jpg"/><Relationship Id="rId79446a9e744edfe05" Type="http://schemas.openxmlformats.org/officeDocument/2006/relationships/image" Target="media/imgrId79446a9e744edfe05.jpg"/><Relationship Id="rId95706a9e744eeacb3" Type="http://schemas.openxmlformats.org/officeDocument/2006/relationships/image" Target="media/imgrId95706a9e744eeacb3.jpg"/><Relationship Id="rId77646a9e744f03b08" Type="http://schemas.openxmlformats.org/officeDocument/2006/relationships/image" Target="media/imgrId77646a9e744f03b08.jpg"/><Relationship Id="rId88946a9e744f14789" Type="http://schemas.openxmlformats.org/officeDocument/2006/relationships/image" Target="media/imgrId88946a9e744f14789.jpg"/><Relationship Id="rId54976a9e744f1d87a" Type="http://schemas.openxmlformats.org/officeDocument/2006/relationships/image" Target="media/imgrId54976a9e744f1d87a.jpg"/><Relationship Id="rId45806a9e744f24b79" Type="http://schemas.openxmlformats.org/officeDocument/2006/relationships/image" Target="media/imgrId45806a9e744f24b79.jpg"/><Relationship Id="rId30376a9e744f2dcb7" Type="http://schemas.openxmlformats.org/officeDocument/2006/relationships/image" Target="media/imgrId30376a9e744f2dcb7.jpg"/><Relationship Id="rId70276a9e744f3cd4e" Type="http://schemas.openxmlformats.org/officeDocument/2006/relationships/image" Target="media/imgrId70276a9e744f3cd4e.jpg"/><Relationship Id="rId94316a9e744f47fcf" Type="http://schemas.openxmlformats.org/officeDocument/2006/relationships/image" Target="media/imgrId94316a9e744f47fcf.jpg"/><Relationship Id="rId19046a9e744f56ea2" Type="http://schemas.openxmlformats.org/officeDocument/2006/relationships/image" Target="media/imgrId19046a9e744f56ea2.jpg"/><Relationship Id="rId13956a9e744f68e0d" Type="http://schemas.openxmlformats.org/officeDocument/2006/relationships/image" Target="media/imgrId13956a9e744f68e0d.jpg"/><Relationship Id="rId60356a9e744f7abea" Type="http://schemas.openxmlformats.org/officeDocument/2006/relationships/image" Target="media/imgrId60356a9e744f7abea.jpg"/><Relationship Id="rId67926a9e744f89348" Type="http://schemas.openxmlformats.org/officeDocument/2006/relationships/image" Target="media/imgrId67926a9e744f89348.jpg"/><Relationship Id="rId73916a9e744f990c5" Type="http://schemas.openxmlformats.org/officeDocument/2006/relationships/image" Target="media/imgrId73916a9e744f990c5.jpg"/><Relationship Id="rId60136a9e744fa49b9" Type="http://schemas.openxmlformats.org/officeDocument/2006/relationships/image" Target="media/imgrId60136a9e744fa49b9.jpg"/><Relationship Id="rId17206a9e744fb2a05" Type="http://schemas.openxmlformats.org/officeDocument/2006/relationships/image" Target="media/imgrId17206a9e744fb2a05.jpg"/><Relationship Id="rId93246a9e744fc53f6" Type="http://schemas.openxmlformats.org/officeDocument/2006/relationships/image" Target="media/imgrId93246a9e744fc53f6.jpg"/><Relationship Id="rId77396a9e744fd5171" Type="http://schemas.openxmlformats.org/officeDocument/2006/relationships/image" Target="media/imgrId77396a9e744fd5171.jpg"/><Relationship Id="rId63036a9e744fd9cda" Type="http://schemas.openxmlformats.org/officeDocument/2006/relationships/image" Target="media/imgrId63036a9e744fd9cda.jpg"/><Relationship Id="rId54026a9e744fe7a98" Type="http://schemas.openxmlformats.org/officeDocument/2006/relationships/image" Target="media/imgrId54026a9e744fe7a98.jpg"/><Relationship Id="rId35846a9e744ff2dff" Type="http://schemas.openxmlformats.org/officeDocument/2006/relationships/image" Target="media/imgrId35846a9e744ff2dff.jpg"/><Relationship Id="rId80416a9e74500828e" Type="http://schemas.openxmlformats.org/officeDocument/2006/relationships/image" Target="media/imgrId80416a9e74500828e.jpg"/><Relationship Id="rId25686a9e74501bed0" Type="http://schemas.openxmlformats.org/officeDocument/2006/relationships/image" Target="media/imgrId25686a9e74501bed0.jpg"/><Relationship Id="rId77356a9e745027a55" Type="http://schemas.openxmlformats.org/officeDocument/2006/relationships/image" Target="media/imgrId77356a9e745027a55.jpg"/><Relationship Id="rId79606a9e74503d43e" Type="http://schemas.openxmlformats.org/officeDocument/2006/relationships/image" Target="media/imgrId79606a9e74503d43e.jpg"/><Relationship Id="rId77556a9e745053534" Type="http://schemas.openxmlformats.org/officeDocument/2006/relationships/image" Target="media/imgrId77556a9e745053534.jpg"/><Relationship Id="rId34216a9e74506a0a4" Type="http://schemas.openxmlformats.org/officeDocument/2006/relationships/image" Target="media/imgrId34216a9e74506a0a4.jpg"/><Relationship Id="rId31686a9e74507c279" Type="http://schemas.openxmlformats.org/officeDocument/2006/relationships/image" Target="media/imgrId31686a9e74507c279.jpg"/><Relationship Id="rId42256a9e74508d14f" Type="http://schemas.openxmlformats.org/officeDocument/2006/relationships/image" Target="media/imgrId42256a9e74508d14f.jpg"/><Relationship Id="rId59026a9e74509c70f" Type="http://schemas.openxmlformats.org/officeDocument/2006/relationships/image" Target="media/imgrId59026a9e74509c70f.jpg"/><Relationship Id="rId22876a9e7450acd5e" Type="http://schemas.openxmlformats.org/officeDocument/2006/relationships/image" Target="media/imgrId22876a9e7450acd5e.jpg"/><Relationship Id="rId59666a9e7450b78fd" Type="http://schemas.openxmlformats.org/officeDocument/2006/relationships/image" Target="media/imgrId59666a9e7450b78fd.jpg"/><Relationship Id="rId80186a9e7450c9174" Type="http://schemas.openxmlformats.org/officeDocument/2006/relationships/image" Target="media/imgrId80186a9e7450c9174.jpg"/><Relationship Id="rId46996a9e7450e149d" Type="http://schemas.openxmlformats.org/officeDocument/2006/relationships/image" Target="media/imgrId46996a9e7450e149d.png"/><Relationship Id="rId77186a9e7450ee3de" Type="http://schemas.openxmlformats.org/officeDocument/2006/relationships/image" Target="media/imgrId77186a9e7450ee3de.jpg"/><Relationship Id="rId61486a9e745108bdc" Type="http://schemas.openxmlformats.org/officeDocument/2006/relationships/image" Target="media/imgrId61486a9e745108bdc.jpg"/><Relationship Id="rId20286a9e745116075" Type="http://schemas.openxmlformats.org/officeDocument/2006/relationships/image" Target="media/imgrId20286a9e745116075.jpg"/><Relationship Id="rId23116a9e745123bf4" Type="http://schemas.openxmlformats.org/officeDocument/2006/relationships/image" Target="media/imgrId23116a9e745123bf4.jpg"/><Relationship Id="rId24406a9e745135914" Type="http://schemas.openxmlformats.org/officeDocument/2006/relationships/image" Target="media/imgrId24406a9e745135914.jpg"/><Relationship Id="rId87336a9e74513b68e" Type="http://schemas.openxmlformats.org/officeDocument/2006/relationships/image" Target="media/imgrId87336a9e74513b68e.jpg"/><Relationship Id="rId69406a9e7451437f1" Type="http://schemas.openxmlformats.org/officeDocument/2006/relationships/image" Target="media/imgrId69406a9e7451437f1.jpg"/><Relationship Id="rId70336a9e745149fd8" Type="http://schemas.openxmlformats.org/officeDocument/2006/relationships/image" Target="media/imgrId70336a9e745149fd8.jpg"/><Relationship Id="rId75326a9e74515408a" Type="http://schemas.openxmlformats.org/officeDocument/2006/relationships/image" Target="media/imgrId75326a9e74515408a.jpg"/><Relationship Id="rId95786a9e74516047d" Type="http://schemas.openxmlformats.org/officeDocument/2006/relationships/image" Target="media/imgrId95786a9e74516047d.jpg"/><Relationship Id="rId90826a9e74516fb00" Type="http://schemas.openxmlformats.org/officeDocument/2006/relationships/image" Target="media/imgrId90826a9e74516fb00.jpg"/><Relationship Id="rId43796a9e745185b90" Type="http://schemas.openxmlformats.org/officeDocument/2006/relationships/image" Target="media/imgrId43796a9e745185b90.jpg"/><Relationship Id="rId58696a9e7451a1c62" Type="http://schemas.openxmlformats.org/officeDocument/2006/relationships/image" Target="media/imgrId58696a9e7451a1c62.jpg"/><Relationship Id="rId63856a9e7451b209c" Type="http://schemas.openxmlformats.org/officeDocument/2006/relationships/image" Target="media/imgrId63856a9e7451b209c.jpg"/><Relationship Id="rId98716a9e7451bd48f" Type="http://schemas.openxmlformats.org/officeDocument/2006/relationships/image" Target="media/imgrId98716a9e7451bd48f.jpg"/><Relationship Id="rId57706a9e7451ccdcf" Type="http://schemas.openxmlformats.org/officeDocument/2006/relationships/image" Target="media/imgrId57706a9e7451ccdcf.jpg"/><Relationship Id="rId50606a9e7451d4c56" Type="http://schemas.openxmlformats.org/officeDocument/2006/relationships/image" Target="media/imgrId50606a9e7451d4c56.jpg"/><Relationship Id="rId63736a9e7451dfb5d" Type="http://schemas.openxmlformats.org/officeDocument/2006/relationships/image" Target="media/imgrId63736a9e7451dfb5d.jpg"/><Relationship Id="rId93396a9e7451ec4ff" Type="http://schemas.openxmlformats.org/officeDocument/2006/relationships/image" Target="media/imgrId93396a9e7451ec4ff.jpg"/><Relationship Id="rId93676a9e745203067" Type="http://schemas.openxmlformats.org/officeDocument/2006/relationships/image" Target="media/imgrId93676a9e745203067.jpg"/><Relationship Id="rId97236a9e74520f7fb" Type="http://schemas.openxmlformats.org/officeDocument/2006/relationships/image" Target="media/imgrId97236a9e74520f7fb.jpg"/><Relationship Id="rId84546a9e74521513f" Type="http://schemas.openxmlformats.org/officeDocument/2006/relationships/image" Target="media/imgrId84546a9e74521513f.jpg"/><Relationship Id="rId36716a9e74521b904" Type="http://schemas.openxmlformats.org/officeDocument/2006/relationships/image" Target="media/imgrId36716a9e74521b904.jpg"/><Relationship Id="rId46456a9e74522adde" Type="http://schemas.openxmlformats.org/officeDocument/2006/relationships/image" Target="media/imgrId46456a9e74522adde.jpg"/><Relationship Id="rId83716a9e745236dbf" Type="http://schemas.openxmlformats.org/officeDocument/2006/relationships/image" Target="media/imgrId83716a9e745236dbf.jpg"/><Relationship Id="rId80006a9e74523d5e0" Type="http://schemas.openxmlformats.org/officeDocument/2006/relationships/image" Target="media/imgrId80006a9e74523d5e0.jpg"/><Relationship Id="rId58576a9e7452498a5" Type="http://schemas.openxmlformats.org/officeDocument/2006/relationships/image" Target="media/imgrId58576a9e7452498a5.jpg"/><Relationship Id="rId81566a9e7452516c2" Type="http://schemas.openxmlformats.org/officeDocument/2006/relationships/image" Target="media/imgrId81566a9e7452516c2.jpg"/><Relationship Id="rId93786a9e745259838" Type="http://schemas.openxmlformats.org/officeDocument/2006/relationships/image" Target="media/imgrId93786a9e745259838.jpg"/><Relationship Id="rId85466a9e745260747" Type="http://schemas.openxmlformats.org/officeDocument/2006/relationships/image" Target="media/imgrId85466a9e745260747.jpg"/><Relationship Id="rId93596a9e745267c8e" Type="http://schemas.openxmlformats.org/officeDocument/2006/relationships/image" Target="media/imgrId93596a9e745267c8e.jpg"/><Relationship Id="rId28336a9e74526d2e6" Type="http://schemas.openxmlformats.org/officeDocument/2006/relationships/image" Target="media/imgrId28336a9e74526d2e6.jpg"/><Relationship Id="rId19306a9e7452801ad" Type="http://schemas.openxmlformats.org/officeDocument/2006/relationships/image" Target="media/imgrId19306a9e7452801ad.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27788342" Type="http://schemas.openxmlformats.org/officeDocument/2006/relationships/image" Target="media/imgrId27788342.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27788342" Type="http://schemas.openxmlformats.org/officeDocument/2006/relationships/image" Target="media/imgrId27788342.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27788342" Type="http://schemas.openxmlformats.org/officeDocument/2006/relationships/image" Target="media/imgrId27788342.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27788342" Type="http://schemas.openxmlformats.org/officeDocument/2006/relationships/image" Target="media/imgrId27788342.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27788342" Type="http://schemas.openxmlformats.org/officeDocument/2006/relationships/image" Target="media/imgrId27788342.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27788342" Type="http://schemas.openxmlformats.org/officeDocument/2006/relationships/image" Target="media/imgrId2778834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