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sulla sicurezza</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13192945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543734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448364" w:name="ctxt"/>
    <w:bookmarkEnd w:id="25448364"/>
    <w:p>
      <w:pPr>
        <w:widowControl w:val="on"/>
        <w:pBdr/>
        <w:spacing w:before="75" w:after="75" w:line="240" w:lineRule="auto"/>
        <w:ind w:left="75" w:right="75"/>
        <w:jc w:val="left"/>
      </w:pPr>
    </w:p>
    <w:p>
      <w:pPr>
        <w:pStyle w:val="Titolo1"/>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p>
      <w:pPr>
        <w:numPr>
          <w:ilvl w:val="0"/>
          <w:numId w:val="20789"/>
        </w:numPr>
        <w:spacing w:before="0" w:after="0" w:line="240" w:lineRule="auto"/>
        <w:jc w:val="left"/>
        <w:rPr>
          <w:color w:val="00274C"/>
          <w:sz w:val="20"/>
          <w:szCs w:val="20"/>
        </w:rPr>
      </w:pP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1"/>
                <w:numId w:val="20789"/>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1"/>
                <w:numId w:val="20789"/>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 </w:t>
            </w:r>
            <w:r>
              <w:rPr>
                <w:color w:val="00274C"/>
                <w:position w:val="-2"/>
                <w:sz w:val="20"/>
                <w:szCs w:val="20"/>
                <w:u w:val="none"/>
              </w:rPr>
              <w:t xml:space="preserve"> all'interno di questo manuale è considerato improprio.</w:t>
            </w:r>
          </w:p>
          <w:p>
            <w:pPr>
              <w:numPr>
                <w:ilvl w:val="1"/>
                <w:numId w:val="20789"/>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274C"/>
                <w:position w:val="-2"/>
                <w:sz w:val="20"/>
                <w:szCs w:val="20"/>
                <w:u w:val="none"/>
              </w:rPr>
              <w:t xml:space="preserve">REHLKO</w:t>
            </w:r>
            <w:r>
              <w:rPr>
                <w:color w:val="00274C"/>
                <w:position w:val="-2"/>
                <w:sz w:val="20"/>
                <w:szCs w:val="20"/>
                <w:u w:val="none"/>
              </w:rPr>
              <w:t xml:space="preserve"> .</w:t>
            </w:r>
          </w:p>
          <w:p>
            <w:pPr>
              <w:numPr>
                <w:ilvl w:val="1"/>
                <w:numId w:val="20789"/>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1"/>
                <w:numId w:val="20789"/>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  </w:t>
            </w:r>
            <w:r>
              <w:rPr>
                <w:b/>
                <w:bCs/>
                <w:color w:val="00274C"/>
                <w:position w:val="-2"/>
                <w:sz w:val="20"/>
                <w:szCs w:val="20"/>
                <w:u w:val="none"/>
              </w:rPr>
              <w:t xml:space="preserve">(Par 3.4.3)</w:t>
            </w:r>
            <w:r>
              <w:rPr>
                <w:color w:val="00274C"/>
                <w:position w:val="-2"/>
                <w:sz w:val="20"/>
                <w:szCs w:val="20"/>
                <w:u w:val="none"/>
              </w:rPr>
              <w:t xml:space="preserve"> .</w:t>
            </w:r>
          </w:p>
          <w:p>
            <w:pPr>
              <w:numPr>
                <w:ilvl w:val="1"/>
                <w:numId w:val="20789"/>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1"/>
                <w:numId w:val="20789"/>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non può contemplare ogni uso improprio ragionevolmente imprevedibile capace di comportare un potenziale pericolo.</w:t>
            </w:r>
          </w:p>
          <w:p>
            <w:pPr>
              <w:numPr>
                <w:ilvl w:val="1"/>
                <w:numId w:val="20789"/>
              </w:numPr>
              <w:spacing w:before="0" w:after="0" w:line="262" w:lineRule="auto"/>
              <w:jc w:val="left"/>
              <w:rPr>
                <w:color w:val="00274C"/>
                <w:sz w:val="20"/>
                <w:szCs w:val="20"/>
              </w:rPr>
            </w:pPr>
            <w:r>
              <w:rPr>
                <w:color w:val="00274C"/>
                <w:position w:val="-2"/>
                <w:sz w:val="20"/>
                <w:szCs w:val="20"/>
                <w:u w:val="none"/>
              </w:rPr>
              <w:t xml:space="preserve">Per modello </w:t>
            </w:r>
            <w:r>
              <w:rPr>
                <w:b/>
                <w:bCs/>
                <w:color w:val="00274C"/>
                <w:position w:val="-2"/>
                <w:sz w:val="20"/>
                <w:szCs w:val="20"/>
                <w:u w:val="none"/>
              </w:rPr>
              <w:t xml:space="preserve">K-HEM</w:t>
            </w:r>
            <w:r>
              <w:rPr>
                <w:color w:val="00274C"/>
                <w:position w:val="-2"/>
                <w:sz w:val="20"/>
                <w:szCs w:val="20"/>
                <w:u w:val="none"/>
              </w:rPr>
              <w:t xml:space="preserve"> : è vietato qualsiasi intervento sulla unità ibrida, in caso di malfunzionamento contattare le officine autorizzate </w:t>
            </w:r>
            <w:r>
              <w:rPr>
                <w:b/>
                <w:bCs/>
                <w:color w:val="00274C"/>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per il costruttore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In fase di applicazione dei motori </w:t>
            </w:r>
            <w:r>
              <w:rPr>
                <w:b/>
                <w:bCs/>
                <w:color w:val="00274C"/>
                <w:position w:val="-2"/>
                <w:sz w:val="20"/>
                <w:szCs w:val="20"/>
                <w:u w:val="none"/>
              </w:rPr>
              <w:t xml:space="preserve">KDW / K-HEM</w:t>
            </w:r>
            <w:r>
              <w:rPr>
                <w:color w:val="00274C"/>
                <w:position w:val="-2"/>
                <w:sz w:val="20"/>
                <w:szCs w:val="20"/>
                <w:u w:val="none"/>
              </w:rPr>
              <w:t xml:space="preserve"> tenere presente che ogni variazione ai sistemi funzionali comporta serie anomalie al motore.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L'ottimizzazione dovrà essere verificata a priori presso le sale prove della </w:t>
            </w:r>
            <w:r>
              <w:rPr>
                <w:b/>
                <w:bCs/>
                <w:color w:val="00274C"/>
                <w:position w:val="-2"/>
                <w:sz w:val="20"/>
                <w:szCs w:val="20"/>
                <w:u w:val="none"/>
              </w:rPr>
              <w:t xml:space="preserve">REHLKO</w:t>
            </w:r>
            <w:r>
              <w:rPr>
                <w:color w:val="00274C"/>
                <w:position w:val="-2"/>
                <w:sz w:val="20"/>
                <w:szCs w:val="20"/>
                <w:u w:val="none"/>
              </w:rPr>
              <w:t xml:space="preserve"> .</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La non approvazione da parte della  </w:t>
            </w:r>
            <w:r>
              <w:rPr>
                <w:b/>
                <w:bCs/>
                <w:color w:val="000000"/>
                <w:position w:val="-2"/>
                <w:sz w:val="20"/>
                <w:szCs w:val="20"/>
                <w:u w:val="none"/>
              </w:rPr>
              <w:t xml:space="preserve">REHLKO </w:t>
            </w:r>
            <w:r>
              <w:rPr>
                <w:color w:val="00274C"/>
                <w:position w:val="-2"/>
                <w:sz w:val="20"/>
                <w:szCs w:val="20"/>
                <w:u w:val="none"/>
              </w:rPr>
              <w:t xml:space="preserve"> di tale tipo di modifica ne solleva la stessa dalle anomalie di funzionamento e da eventuali danni che il motore può subire.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motore può essere assemblato su una macchina solo da personale adeguatamente formato dalla  </w:t>
            </w:r>
            <w:r>
              <w:rPr>
                <w:b/>
                <w:bCs/>
                <w:color w:val="000000"/>
                <w:position w:val="-2"/>
                <w:sz w:val="20"/>
                <w:szCs w:val="20"/>
                <w:u w:val="none"/>
              </w:rPr>
              <w:t xml:space="preserve">REHLKO </w:t>
            </w:r>
            <w:r>
              <w:rPr>
                <w:color w:val="00274C"/>
                <w:position w:val="-2"/>
                <w:sz w:val="20"/>
                <w:szCs w:val="20"/>
                <w:u w:val="none"/>
              </w:rPr>
              <w:t xml:space="preserve"> e operante sulla base della manualistica esistente.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position w:val="-2"/>
                <w:sz w:val="20"/>
                <w:szCs w:val="20"/>
                <w:u w:val="none"/>
              </w:rPr>
              <w:t xml:space="preserve">REHLKO </w:t>
            </w:r>
            <w:r>
              <w:rPr>
                <w:color w:val="00274C"/>
                <w:position w:val="-2"/>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per l'utente finale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All'atto dell'avviamento assicurarsi che il motore sia in posizione prossima all'orizzontale, fatte salve le specifiche della macchina.</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Verificare la stabilità della macchina per evitare rischi di ribaltamento.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Per prevenire rischi d'incendio mantenere la macchina ad almeno un metro da edifici o da altri macchinari.</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Bambini e animali devono essere mantenuti a debita distanza dalle macchine per evitare pericoli derivanti dal funzionamento.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Prima di eseguire qualsiasi operazione, pulire accuratamente tutte le parti esterne del motore al fine di evitare l'introduzione accidentale di impurità e corpi estranei. Utilizzare esclusivamente acqua e/o prodotti adeguati alla pulizia del motore.Usando dispositivi di lavaggio a pressione o a vapore, è impor tante mantenere una distanza minima di almeno 200 mm tra la superficie da lavare e l'ugello. Non indirizzare il getto ad alta pressione verso componenti elettrici, giunzioni dei cavi e anelli di tenuta (paraoli). Pulire accuratamente l'area circostante/sovrastante il motore, seguendo le indicazioni fornite dal costruttore della macchina.</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Accertarsi che eventuali pannelli fonoassorbenti e il terreno sul quale si trova la macchina siano privi di residui di carburanti.</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motore può essere assemblato su una macchina solo da personale adeguatamente formato dalla  </w:t>
            </w:r>
            <w:r>
              <w:rPr>
                <w:b/>
                <w:bCs/>
                <w:color w:val="000000"/>
                <w:position w:val="-2"/>
                <w:sz w:val="20"/>
                <w:szCs w:val="20"/>
                <w:u w:val="none"/>
              </w:rPr>
              <w:t xml:space="preserve">REHLKO </w:t>
            </w:r>
            <w:r>
              <w:rPr>
                <w:color w:val="00274C"/>
                <w:position w:val="-2"/>
                <w:sz w:val="20"/>
                <w:szCs w:val="20"/>
                <w:u w:val="none"/>
              </w:rPr>
              <w:t xml:space="preserve"> e operante sulla base della manualistica esistente.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position w:val="-2"/>
                <w:sz w:val="20"/>
                <w:szCs w:val="20"/>
                <w:u w:val="none"/>
              </w:rPr>
              <w:t xml:space="preserve">REHLKO </w:t>
            </w:r>
            <w:r>
              <w:rPr>
                <w:color w:val="00274C"/>
                <w:position w:val="-2"/>
                <w:sz w:val="20"/>
                <w:szCs w:val="20"/>
                <w:u w:val="none"/>
              </w:rPr>
              <w:t xml:space="preserve"> che quindi declina ogni responsabilità per gli eventuali infortuni conseguenti a tale operazione.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 vapori del carburante sono altamente tossici, effettuare le operazioni di rifornimento solo all'aperto o in ambienti ben areggiati.</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Non fumare o usare fiamme libere durante le operazioni di rifornimento.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Prima di procedere a qualsiasi operazione sul motore, spegnerlo e attendere che il motore raggiunga la temperatura ambiente.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Aprire sempre con cautela il tappo del radiatore o del vaschetta d'espansione, indossando indumenti e occhiali protettivi.</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circuito di raffreddamento a liquido è sotto pressione, non effettuare controlli prima che il motore sia a temperatura ambiente.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Ove prevista una elettroventola non avvicinarsi ad essa se il motore è caldo perché potrebbe entrare in funzione anche a motore spento.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Controllare lo stato di tensione delle cinghie solo a motore spento.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Prestare attenzione alla temperatura del filtro dell'olio durante la sostituzione dello stesso.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Non utilizzare getti di aria e di acqua ad alta pressione, sui cablaggi, sui connettori e sugli elettroiniettori.</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Per i motori provvisti di dispositivo ATS, è necessario inibire la rigenerazione se si utilizza il motore in ambienti a rischio di incendio (es: aree boschive, aree con materiali infiammabili, aree con gas o liquidi infiammabili e qualsiasi tipo di materiale combustibile - se la funzione è disponibile).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66960" name="name14356aa24a6527a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596aa24a6527a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Per il sollevamento del solo motore utilizzare esclusivamente entrambi i golfari </w:t>
            </w:r>
            <w:r>
              <w:rPr>
                <w:b/>
                <w:bCs/>
                <w:color w:val="00274C"/>
                <w:position w:val="-2"/>
                <w:sz w:val="20"/>
                <w:szCs w:val="20"/>
                <w:u w:val="none"/>
              </w:rPr>
              <w:t xml:space="preserve">A</w:t>
            </w:r>
            <w:r>
              <w:rPr>
                <w:color w:val="00274C"/>
                <w:position w:val="-2"/>
                <w:sz w:val="20"/>
                <w:szCs w:val="20"/>
                <w:u w:val="none"/>
              </w:rPr>
              <w:t xml:space="preserve"> previsti dal  </w:t>
            </w:r>
            <w:r>
              <w:rPr>
                <w:b/>
                <w:bCs/>
                <w:color w:val="00274C"/>
                <w:position w:val="-2"/>
                <w:sz w:val="20"/>
                <w:szCs w:val="20"/>
                <w:u w:val="none"/>
              </w:rPr>
              <w:t xml:space="preserve">REHLKO.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L'angolo tra ogni catena di sollevamento e l'angolazione dei golfari non deve superare i 15° verso l'interno.</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Il corretto serraggio delle viti fissaggio staffa di sollevamento è di </w:t>
            </w:r>
            <w:r>
              <w:rPr>
                <w:b/>
                <w:bCs/>
                <w:color w:val="00274C"/>
                <w:position w:val="-2"/>
                <w:sz w:val="20"/>
                <w:szCs w:val="20"/>
                <w:u w:val="none"/>
              </w:rPr>
              <w:t xml:space="preserve">25 Nm</w:t>
            </w:r>
            <w:r>
              <w:rPr>
                <w:color w:val="00274C"/>
                <w:position w:val="-2"/>
                <w:sz w:val="20"/>
                <w:szCs w:val="20"/>
                <w:u w:val="none"/>
              </w:rPr>
              <w:t xml:space="preserve"> .</w:t>
            </w:r>
          </w:p>
          <w:p>
            <w:pPr>
              <w:numPr>
                <w:ilvl w:val="0"/>
                <w:numId w:val="20789"/>
              </w:numPr>
              <w:spacing w:before="0" w:after="0" w:line="262" w:lineRule="auto"/>
              <w:jc w:val="left"/>
              <w:rPr>
                <w:color w:val="00274C"/>
                <w:sz w:val="20"/>
                <w:szCs w:val="20"/>
              </w:rPr>
            </w:pPr>
            <w:r>
              <w:rPr>
                <w:color w:val="00274C"/>
                <w:position w:val="-2"/>
                <w:sz w:val="20"/>
                <w:szCs w:val="20"/>
                <w:u w:val="none"/>
              </w:rPr>
              <w:t xml:space="preserve">L'interposizione di distanziali o rondelle tra golfari e la testa motore non è consentita.</w:t>
            </w:r>
          </w:p>
          <w:p>
            <w:pPr>
              <w:widowControl w:val="on"/>
              <w:pBdr/>
              <w:spacing w:before="0" w:after="0" w:line="262" w:lineRule="auto"/>
              <w:ind w:left="0" w:right="0"/>
              <w:jc w:val="left"/>
              <w:textAlignment w:val="center"/>
            </w:pPr>
            <w:r>
              <w:rPr>
                <w:position w:val="-263"/>
              </w:rPr>
              <w:drawing>
                <wp:inline distT="0" distB="0" distL="0" distR="0">
                  <wp:extent cx="4471200" cy="3348000"/>
                  <wp:effectExtent b="0" l="0" r="0" t="0"/>
                  <wp:docPr id="61694214" name="name47596aa24a653846f" descr="Cap_3_0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Tavola%2520disegno%25201.png"/>
                          <pic:cNvPicPr/>
                        </pic:nvPicPr>
                        <pic:blipFill>
                          <a:blip r:embed="rId84566aa24a653846b" cstate="print"/>
                          <a:stretch>
                            <a:fillRect/>
                          </a:stretch>
                        </pic:blipFill>
                        <pic:spPr>
                          <a:xfrm>
                            <a:off x="0" y="0"/>
                            <a:ext cx="44712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Descrizione dei segnali di sicurezza</w:t>
      </w:r>
    </w:p>
    <w:p>
      <w:pPr>
        <w:numPr>
          <w:ilvl w:val="0"/>
          <w:numId w:val="20789"/>
        </w:numPr>
        <w:spacing w:before="0" w:after="0" w:line="240" w:lineRule="auto"/>
        <w:jc w:val="left"/>
        <w:rPr>
          <w:color w:val="00274C"/>
          <w:sz w:val="20"/>
          <w:szCs w:val="20"/>
        </w:rPr>
      </w:pPr>
      <w:r>
        <w:rPr>
          <w:color w:val="00274C"/>
          <w:sz w:val="20"/>
          <w:szCs w:val="20"/>
          <w:u w:val="none"/>
        </w:rPr>
        <w:t xml:space="preserve">Al fine di garantire un utilizzo sicuro, si prega di leggere attentamente le seguenti istruzioni.</w:t>
      </w:r>
    </w:p>
    <w:p>
      <w:pPr>
        <w:numPr>
          <w:ilvl w:val="0"/>
          <w:numId w:val="20789"/>
        </w:numPr>
        <w:spacing w:before="0" w:after="0" w:line="240" w:lineRule="auto"/>
        <w:jc w:val="left"/>
        <w:rPr>
          <w:color w:val="00274C"/>
          <w:sz w:val="20"/>
          <w:szCs w:val="20"/>
        </w:rPr>
      </w:pPr>
      <w:r>
        <w:rPr>
          <w:color w:val="00274C"/>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20789"/>
        </w:numPr>
        <w:spacing w:before="0" w:after="0" w:line="240" w:lineRule="auto"/>
        <w:jc w:val="left"/>
        <w:rPr>
          <w:color w:val="00274C"/>
          <w:sz w:val="20"/>
          <w:szCs w:val="20"/>
        </w:rPr>
      </w:pPr>
      <w:r>
        <w:rPr>
          <w:color w:val="00274C"/>
          <w:sz w:val="20"/>
          <w:szCs w:val="20"/>
          <w:u w:val="none"/>
        </w:rPr>
        <w:t xml:space="preserve">Il presente manuale contiene le norme di sicurezza spiegate di seguito.</w:t>
      </w:r>
    </w:p>
    <w:p>
      <w:pPr>
        <w:numPr>
          <w:ilvl w:val="0"/>
          <w:numId w:val="20789"/>
        </w:numPr>
        <w:spacing w:before="0" w:after="0" w:line="240" w:lineRule="auto"/>
        <w:jc w:val="left"/>
        <w:rPr>
          <w:color w:val="00274C"/>
          <w:sz w:val="20"/>
          <w:szCs w:val="20"/>
        </w:rPr>
      </w:pPr>
      <w:r>
        <w:rPr>
          <w:color w:val="00274C"/>
          <w:sz w:val="20"/>
          <w:szCs w:val="20"/>
          <w:u w:val="none"/>
        </w:rPr>
        <w:t xml:space="preserve">Si prega di leggerle con attenzione.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3.4.1 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52818779" name="name56246aa24a6540d77"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0676aa24a6540d74"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66751091" name="name81106aa24a654868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6406aa24a654867f"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59093515" name="name97146aa24a654fc52"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6496aa24a654fc4f"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14983304" name="name72576aa24a6557d27"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1726aa24a6557d24"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5801797" name="name15366aa24a655f0cf"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8436aa24a655f0cb"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3971625" name="name17646aa24a6566d4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8076aa24a6566d3e"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0370575" name="name71376aa24a656e1b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316aa24a656e1ba"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52347174" name="name46066aa24a657520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5636aa24a657520a"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979244" name="name99526aa24a657cccc"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51076aa24a657ccc9"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44321954" name="name79506aa24a6585973"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3196aa24a658596f"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24034209" name="name88366aa24a658d7e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8426aa24a658d7e8"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720172" name="name13396aa24a65921d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296aa24a65921d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2704205" name="name47136aa24a659a6be"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5436aa24a659a6b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1404330" name="name85746aa24a65a5392"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1666aa24a65a538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6550877" name="name45606aa24a65aab29"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5466aa24a65aab2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3041067" name="name11716aa24a65b165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806aa24a65b164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827155" name="name39826aa24a65ba72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0936aa24a65ba72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413129" name="name49056aa24a65bfb8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806aa24a65bfb8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810864" name="name37166aa24a65c6783"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4486aa24a65c678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9442843" name="name64706aa24a65cf33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456aa24a65cf33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215527" name="name65146aa24a65d522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8536aa24a65d522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5150989" name="name70806aa24a65da0c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976aa24a65da0c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9526475" name="name80606aa24a65e411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7156aa24a65e411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5783145" name="name63316aa24a65e799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046aa24a65e798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481339" name="name45696aa24a65ef9e7"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1736aa24a65ef9e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151965" name="name84216aa24a6600b3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406aa24a6600b3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518552" name="name83786aa24a660700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0876aa24a660700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444910" name="name99216aa24a660c13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216aa24a660c13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196831" name="name53326aa24a66122eb"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8246aa24a66122e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0114438" name="name50036aa24a6617c9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226aa24a6617c9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p/>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p>
      <w:pPr>
        <w:widowControl w:val="on"/>
        <w:pBdr/>
        <w:spacing w:before="0" w:after="0" w:line="262" w:lineRule="auto"/>
        <w:ind w:left="0" w:right="0"/>
        <w:jc w:val="left"/>
      </w:pPr>
      <w:r>
        <w:rPr>
          <w:color w:val="00274C"/>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w:t>
      </w:r>
    </w:p>
    <w:p>
      <w:pPr>
        <w:numPr>
          <w:ilvl w:val="0"/>
          <w:numId w:val="20789"/>
        </w:numPr>
        <w:spacing w:before="0" w:after="0" w:line="240" w:lineRule="auto"/>
        <w:jc w:val="left"/>
        <w:rPr>
          <w:color w:val="00274C"/>
          <w:sz w:val="20"/>
          <w:szCs w:val="20"/>
        </w:rPr>
      </w:pPr>
      <w:r>
        <w:rPr>
          <w:color w:val="00274C"/>
          <w:sz w:val="20"/>
          <w:szCs w:val="20"/>
          <w:u w:val="none"/>
        </w:rPr>
        <w:t xml:space="preserve">Scarichi dei liquidi.</w:t>
      </w:r>
    </w:p>
    <w:p>
      <w:pPr>
        <w:numPr>
          <w:ilvl w:val="0"/>
          <w:numId w:val="20789"/>
        </w:numPr>
        <w:spacing w:before="0" w:after="0" w:line="240" w:lineRule="auto"/>
        <w:jc w:val="left"/>
        <w:rPr>
          <w:color w:val="00274C"/>
          <w:sz w:val="20"/>
          <w:szCs w:val="20"/>
        </w:rPr>
      </w:pPr>
      <w:r>
        <w:rPr>
          <w:color w:val="00274C"/>
          <w:sz w:val="20"/>
          <w:szCs w:val="20"/>
          <w:u w:val="none"/>
        </w:rPr>
        <w:t xml:space="preserve">Gestione dei rifiuti.</w:t>
      </w:r>
    </w:p>
    <w:p>
      <w:pPr>
        <w:numPr>
          <w:ilvl w:val="0"/>
          <w:numId w:val="20789"/>
        </w:numPr>
        <w:spacing w:before="0" w:after="0" w:line="240" w:lineRule="auto"/>
        <w:jc w:val="left"/>
        <w:rPr>
          <w:color w:val="00274C"/>
          <w:sz w:val="20"/>
          <w:szCs w:val="20"/>
        </w:rPr>
      </w:pPr>
      <w:r>
        <w:rPr>
          <w:color w:val="00274C"/>
          <w:sz w:val="20"/>
          <w:szCs w:val="20"/>
          <w:u w:val="none"/>
        </w:rPr>
        <w:t xml:space="preserve">Contaminazione del suolo.</w:t>
      </w:r>
    </w:p>
    <w:p>
      <w:pPr>
        <w:numPr>
          <w:ilvl w:val="0"/>
          <w:numId w:val="20789"/>
        </w:numPr>
        <w:spacing w:before="0" w:after="0" w:line="240" w:lineRule="auto"/>
        <w:jc w:val="left"/>
        <w:rPr>
          <w:color w:val="00274C"/>
          <w:sz w:val="20"/>
          <w:szCs w:val="20"/>
        </w:rPr>
      </w:pPr>
      <w:r>
        <w:rPr>
          <w:color w:val="00274C"/>
          <w:sz w:val="20"/>
          <w:szCs w:val="20"/>
          <w:u w:val="none"/>
        </w:rPr>
        <w:t xml:space="preserve">Emissioni nell'atmosfera.</w:t>
      </w:r>
    </w:p>
    <w:p>
      <w:pPr>
        <w:numPr>
          <w:ilvl w:val="0"/>
          <w:numId w:val="20789"/>
        </w:numPr>
        <w:spacing w:before="0" w:after="0" w:line="240" w:lineRule="auto"/>
        <w:jc w:val="left"/>
        <w:rPr>
          <w:color w:val="00274C"/>
          <w:sz w:val="20"/>
          <w:szCs w:val="20"/>
        </w:rPr>
      </w:pPr>
      <w:r>
        <w:rPr>
          <w:color w:val="00274C"/>
          <w:sz w:val="20"/>
          <w:szCs w:val="20"/>
          <w:u w:val="none"/>
        </w:rPr>
        <w:t xml:space="preserve">Uso delle materie prime e delle risorse naturali.</w:t>
      </w:r>
    </w:p>
    <w:p>
      <w:pPr>
        <w:numPr>
          <w:ilvl w:val="0"/>
          <w:numId w:val="20789"/>
        </w:numPr>
        <w:spacing w:before="0" w:after="0" w:line="240" w:lineRule="auto"/>
        <w:jc w:val="left"/>
        <w:rPr>
          <w:color w:val="00274C"/>
          <w:sz w:val="20"/>
          <w:szCs w:val="20"/>
        </w:rPr>
      </w:pPr>
      <w:r>
        <w:rPr>
          <w:color w:val="00274C"/>
          <w:sz w:val="20"/>
          <w:szCs w:val="20"/>
          <w:u w:val="none"/>
        </w:rPr>
        <w:t xml:space="preserve">Norme e direttive relative all'impatto ambientale.</w:t>
      </w:r>
    </w:p>
    <w:p>
      <w:pPr>
        <w:widowControl w:val="on"/>
        <w:pBdr/>
        <w:spacing w:before="0" w:after="0" w:line="262" w:lineRule="auto"/>
        <w:ind w:left="0" w:right="0"/>
        <w:jc w:val="left"/>
      </w:pPr>
      <w:r>
        <w:rPr>
          <w:color w:val="00274C"/>
          <w:sz w:val="20"/>
          <w:szCs w:val="20"/>
          <w:u w:val="none"/>
        </w:rPr>
        <w:br/>
        <w:t xml:space="preserve">Allo scopo di minimizzare l'impatto ambientale,  </w:t>
      </w:r>
      <w:r>
        <w:rPr>
          <w:b/>
          <w:bCs/>
          <w:color w:val="000000"/>
          <w:sz w:val="20"/>
          <w:szCs w:val="20"/>
          <w:u w:val="none"/>
        </w:rPr>
        <w:t xml:space="preserve">REHLKO </w:t>
      </w:r>
      <w:r>
        <w:rPr>
          <w:color w:val="00274C"/>
          <w:sz w:val="20"/>
          <w:szCs w:val="20"/>
          <w:u w:val="none"/>
        </w:rPr>
        <w:t xml:space="preserve"> fornisce di seguito alcune indicazioni a cui dovranno attenersi tutti coloro che, a qualunque titolo, interagiscono con il motore nell'arco della sua vita prevista.</w:t>
      </w:r>
    </w:p>
    <w:p>
      <w:pPr>
        <w:numPr>
          <w:ilvl w:val="0"/>
          <w:numId w:val="20789"/>
        </w:numPr>
        <w:spacing w:before="0" w:after="0" w:line="240" w:lineRule="auto"/>
        <w:jc w:val="left"/>
        <w:rPr>
          <w:color w:val="00274C"/>
          <w:sz w:val="20"/>
          <w:szCs w:val="20"/>
        </w:rPr>
      </w:pPr>
      <w:r>
        <w:rPr>
          <w:color w:val="00274C"/>
          <w:sz w:val="20"/>
          <w:szCs w:val="20"/>
          <w:u w:val="none"/>
        </w:rPr>
        <w:t xml:space="preserve">Tutti i componenti e i liquidi vanno smaltiti secondo le leggi vigenti nel paese in cui lo smaltimento viene effettuato.</w:t>
      </w:r>
    </w:p>
    <w:p>
      <w:pPr>
        <w:numPr>
          <w:ilvl w:val="0"/>
          <w:numId w:val="20789"/>
        </w:numPr>
        <w:spacing w:before="0" w:after="0" w:line="240" w:lineRule="auto"/>
        <w:jc w:val="left"/>
        <w:rPr>
          <w:color w:val="00274C"/>
          <w:sz w:val="20"/>
          <w:szCs w:val="20"/>
        </w:rPr>
      </w:pPr>
      <w:r>
        <w:rPr>
          <w:color w:val="00274C"/>
          <w:sz w:val="20"/>
          <w:szCs w:val="20"/>
          <w:u w:val="none"/>
        </w:rPr>
        <w:t xml:space="preserve">Mantenere efficienti l'impianto di iniezione, di gestione del motore e i tubi di scarico per limitare il livello di inquinamento acustico e atmosferico.</w:t>
      </w:r>
    </w:p>
    <w:p>
      <w:pPr>
        <w:numPr>
          <w:ilvl w:val="0"/>
          <w:numId w:val="20789"/>
        </w:numPr>
        <w:spacing w:before="0" w:after="0" w:line="240" w:lineRule="auto"/>
        <w:jc w:val="left"/>
        <w:rPr>
          <w:color w:val="00274C"/>
          <w:sz w:val="20"/>
          <w:szCs w:val="20"/>
        </w:rPr>
      </w:pPr>
      <w:r>
        <w:rPr>
          <w:color w:val="00274C"/>
          <w:sz w:val="20"/>
          <w:szCs w:val="20"/>
          <w:u w:val="none"/>
        </w:rPr>
        <w:t xml:space="preserve">In fase di dismissione del motore, selezionare tutti componenti in funzione delle loro caratteristiche chimiche e provvedere allo smaltimento differenziato.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Ubicazione dei segnali di sicurezza sul motore</w:t>
      </w:r>
    </w:p>
    <w:p>
      <w:pPr>
        <w:widowControl w:val="on"/>
        <w:pBdr/>
        <w:spacing w:before="225" w:after="225" w:line="262" w:lineRule="auto"/>
        <w:ind w:left="0" w:right="0"/>
        <w:jc w:val="left"/>
      </w:pPr>
      <w:r>
        <w:drawing>
          <wp:inline distT="0" distB="0" distL="0" distR="0">
            <wp:extent cx="25099200" cy="17726400"/>
            <wp:effectExtent b="0" l="0" r="0" t="0"/>
            <wp:docPr id="11110608" name="name55086aa24a663372c" descr="SEGNALI_SICUREZZA_FO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SICUREZZA_FOCS.jpg"/>
                    <pic:cNvPicPr/>
                  </pic:nvPicPr>
                  <pic:blipFill>
                    <a:blip r:embed="rId56166aa24a6633727" cstate="print"/>
                    <a:stretch>
                      <a:fillRect/>
                    </a:stretch>
                  </pic:blipFill>
                  <pic:spPr>
                    <a:xfrm>
                      <a:off x="0" y="0"/>
                      <a:ext cx="25099200" cy="17726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790">
    <w:multiLevelType w:val="hybridMultilevel"/>
    <w:lvl w:ilvl="0" w:tplc="17595953">
      <w:start w:val="1"/>
      <w:numFmt w:val="decimal"/>
      <w:lvlText w:val="%1."/>
      <w:lvlJc w:val="left"/>
      <w:pPr>
        <w:ind w:left="720" w:hanging="360"/>
      </w:pPr>
    </w:lvl>
    <w:lvl w:ilvl="1" w:tplc="17595953" w:tentative="1">
      <w:start w:val="1"/>
      <w:numFmt w:val="lowerLetter"/>
      <w:lvlText w:val="%2."/>
      <w:lvlJc w:val="left"/>
      <w:pPr>
        <w:ind w:left="1440" w:hanging="360"/>
      </w:pPr>
    </w:lvl>
    <w:lvl w:ilvl="2" w:tplc="17595953" w:tentative="1">
      <w:start w:val="1"/>
      <w:numFmt w:val="lowerRoman"/>
      <w:lvlText w:val="%3."/>
      <w:lvlJc w:val="right"/>
      <w:pPr>
        <w:ind w:left="2160" w:hanging="180"/>
      </w:pPr>
    </w:lvl>
    <w:lvl w:ilvl="3" w:tplc="17595953" w:tentative="1">
      <w:start w:val="1"/>
      <w:numFmt w:val="decimal"/>
      <w:lvlText w:val="%4."/>
      <w:lvlJc w:val="left"/>
      <w:pPr>
        <w:ind w:left="2880" w:hanging="360"/>
      </w:pPr>
    </w:lvl>
    <w:lvl w:ilvl="4" w:tplc="17595953" w:tentative="1">
      <w:start w:val="1"/>
      <w:numFmt w:val="lowerLetter"/>
      <w:lvlText w:val="%5."/>
      <w:lvlJc w:val="left"/>
      <w:pPr>
        <w:ind w:left="3600" w:hanging="360"/>
      </w:pPr>
    </w:lvl>
    <w:lvl w:ilvl="5" w:tplc="17595953" w:tentative="1">
      <w:start w:val="1"/>
      <w:numFmt w:val="lowerRoman"/>
      <w:lvlText w:val="%6."/>
      <w:lvlJc w:val="right"/>
      <w:pPr>
        <w:ind w:left="4320" w:hanging="180"/>
      </w:pPr>
    </w:lvl>
    <w:lvl w:ilvl="6" w:tplc="17595953" w:tentative="1">
      <w:start w:val="1"/>
      <w:numFmt w:val="decimal"/>
      <w:lvlText w:val="%7."/>
      <w:lvlJc w:val="left"/>
      <w:pPr>
        <w:ind w:left="5040" w:hanging="360"/>
      </w:pPr>
    </w:lvl>
    <w:lvl w:ilvl="7" w:tplc="17595953" w:tentative="1">
      <w:start w:val="1"/>
      <w:numFmt w:val="lowerLetter"/>
      <w:lvlText w:val="%8."/>
      <w:lvlJc w:val="left"/>
      <w:pPr>
        <w:ind w:left="5760" w:hanging="360"/>
      </w:pPr>
    </w:lvl>
    <w:lvl w:ilvl="8" w:tplc="17595953" w:tentative="1">
      <w:start w:val="1"/>
      <w:numFmt w:val="lowerRoman"/>
      <w:lvlText w:val="%9."/>
      <w:lvlJc w:val="right"/>
      <w:pPr>
        <w:ind w:left="6480" w:hanging="180"/>
      </w:pPr>
    </w:lvl>
  </w:abstractNum>
  <w:abstractNum w:abstractNumId="20789">
    <w:multiLevelType w:val="hybridMultilevel"/>
    <w:lvl w:ilvl="0" w:tplc="73760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789">
    <w:abstractNumId w:val="20789"/>
  </w:num>
  <w:num w:numId="20790">
    <w:abstractNumId w:val="20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23389404" Type="http://schemas.openxmlformats.org/officeDocument/2006/relationships/comments" Target="comments.xml"/><Relationship Id="rId462594493" Type="http://schemas.microsoft.com/office/2011/relationships/commentsExtended" Target="commentsExtended.xml"/><Relationship Id="rId15437340" Type="http://schemas.openxmlformats.org/officeDocument/2006/relationships/image" Target="media/imgrId15437340.jpg"/><Relationship Id="rId57596aa24a6527a72" Type="http://schemas.openxmlformats.org/officeDocument/2006/relationships/image" Target="media/imgrId57596aa24a6527a72.jpg"/><Relationship Id="rId84566aa24a653846b" Type="http://schemas.openxmlformats.org/officeDocument/2006/relationships/image" Target="media/imgrId84566aa24a653846b.png"/><Relationship Id="rId80676aa24a6540d74" Type="http://schemas.openxmlformats.org/officeDocument/2006/relationships/image" Target="media/imgrId80676aa24a6540d74.jpg"/><Relationship Id="rId66406aa24a654867f" Type="http://schemas.openxmlformats.org/officeDocument/2006/relationships/image" Target="media/imgrId66406aa24a654867f.jpg"/><Relationship Id="rId66496aa24a654fc4f" Type="http://schemas.openxmlformats.org/officeDocument/2006/relationships/image" Target="media/imgrId66496aa24a654fc4f.jpg"/><Relationship Id="rId51726aa24a6557d24" Type="http://schemas.openxmlformats.org/officeDocument/2006/relationships/image" Target="media/imgrId51726aa24a6557d24.jpg"/><Relationship Id="rId28436aa24a655f0cb" Type="http://schemas.openxmlformats.org/officeDocument/2006/relationships/image" Target="media/imgrId28436aa24a655f0cb.jpg"/><Relationship Id="rId88076aa24a6566d3e" Type="http://schemas.openxmlformats.org/officeDocument/2006/relationships/image" Target="media/imgrId88076aa24a6566d3e.png"/><Relationship Id="rId25316aa24a656e1ba" Type="http://schemas.openxmlformats.org/officeDocument/2006/relationships/image" Target="media/imgrId25316aa24a656e1ba.png"/><Relationship Id="rId85636aa24a657520a" Type="http://schemas.openxmlformats.org/officeDocument/2006/relationships/image" Target="media/imgrId85636aa24a657520a.png"/><Relationship Id="rId51076aa24a657ccc9" Type="http://schemas.openxmlformats.org/officeDocument/2006/relationships/image" Target="media/imgrId51076aa24a657ccc9.jpg"/><Relationship Id="rId93196aa24a658596f" Type="http://schemas.openxmlformats.org/officeDocument/2006/relationships/image" Target="media/imgrId93196aa24a658596f.jpg"/><Relationship Id="rId68426aa24a658d7e8" Type="http://schemas.openxmlformats.org/officeDocument/2006/relationships/image" Target="media/imgrId68426aa24a658d7e8.jpg"/><Relationship Id="rId46296aa24a65921da" Type="http://schemas.openxmlformats.org/officeDocument/2006/relationships/image" Target="media/imgrId46296aa24a65921da.jpg"/><Relationship Id="rId55436aa24a659a6ba" Type="http://schemas.openxmlformats.org/officeDocument/2006/relationships/image" Target="media/imgrId55436aa24a659a6ba.jpg"/><Relationship Id="rId91666aa24a65a538d" Type="http://schemas.openxmlformats.org/officeDocument/2006/relationships/image" Target="media/imgrId91666aa24a65a538d.jpg"/><Relationship Id="rId75466aa24a65aab25" Type="http://schemas.openxmlformats.org/officeDocument/2006/relationships/image" Target="media/imgrId75466aa24a65aab25.jpg"/><Relationship Id="rId45806aa24a65b164e" Type="http://schemas.openxmlformats.org/officeDocument/2006/relationships/image" Target="media/imgrId45806aa24a65b164e.jpg"/><Relationship Id="rId50936aa24a65ba723" Type="http://schemas.openxmlformats.org/officeDocument/2006/relationships/image" Target="media/imgrId50936aa24a65ba723.jpg"/><Relationship Id="rId69806aa24a65bfb80" Type="http://schemas.openxmlformats.org/officeDocument/2006/relationships/image" Target="media/imgrId69806aa24a65bfb80.jpg"/><Relationship Id="rId54486aa24a65c6780" Type="http://schemas.openxmlformats.org/officeDocument/2006/relationships/image" Target="media/imgrId54486aa24a65c6780.jpg"/><Relationship Id="rId79456aa24a65cf33c" Type="http://schemas.openxmlformats.org/officeDocument/2006/relationships/image" Target="media/imgrId79456aa24a65cf33c.jpg"/><Relationship Id="rId98536aa24a65d5221" Type="http://schemas.openxmlformats.org/officeDocument/2006/relationships/image" Target="media/imgrId98536aa24a65d5221.jpg"/><Relationship Id="rId72976aa24a65da0c8" Type="http://schemas.openxmlformats.org/officeDocument/2006/relationships/image" Target="media/imgrId72976aa24a65da0c8.jpg"/><Relationship Id="rId17156aa24a65e4114" Type="http://schemas.openxmlformats.org/officeDocument/2006/relationships/image" Target="media/imgrId17156aa24a65e4114.jpg"/><Relationship Id="rId83046aa24a65e798f" Type="http://schemas.openxmlformats.org/officeDocument/2006/relationships/image" Target="media/imgrId83046aa24a65e798f.jpg"/><Relationship Id="rId41736aa24a65ef9e3" Type="http://schemas.openxmlformats.org/officeDocument/2006/relationships/image" Target="media/imgrId41736aa24a65ef9e3.jpg"/><Relationship Id="rId86406aa24a6600b35" Type="http://schemas.openxmlformats.org/officeDocument/2006/relationships/image" Target="media/imgrId86406aa24a6600b35.jpg"/><Relationship Id="rId80876aa24a6607002" Type="http://schemas.openxmlformats.org/officeDocument/2006/relationships/image" Target="media/imgrId80876aa24a6607002.jpg"/><Relationship Id="rId11216aa24a660c13b" Type="http://schemas.openxmlformats.org/officeDocument/2006/relationships/image" Target="media/imgrId11216aa24a660c13b.jpg"/><Relationship Id="rId58246aa24a66122e8" Type="http://schemas.openxmlformats.org/officeDocument/2006/relationships/image" Target="media/imgrId58246aa24a66122e8.jpg"/><Relationship Id="rId86226aa24a6617c96" Type="http://schemas.openxmlformats.org/officeDocument/2006/relationships/image" Target="media/imgrId86226aa24a6617c96.jpg"/><Relationship Id="rId56166aa24a6633727" Type="http://schemas.openxmlformats.org/officeDocument/2006/relationships/image" Target="media/imgrId56166aa24a663372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5437340" Type="http://schemas.openxmlformats.org/officeDocument/2006/relationships/image" Target="media/imgrId1543734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5437340" Type="http://schemas.openxmlformats.org/officeDocument/2006/relationships/image" Target="media/imgrId1543734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5437340" Type="http://schemas.openxmlformats.org/officeDocument/2006/relationships/image" Target="media/imgrId1543734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5437340" Type="http://schemas.openxmlformats.org/officeDocument/2006/relationships/image" Target="media/imgrId1543734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5437340" Type="http://schemas.openxmlformats.org/officeDocument/2006/relationships/image" Target="media/imgrId1543734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5437340" Type="http://schemas.openxmlformats.org/officeDocument/2006/relationships/image" Target="media/imgrId1543734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