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Glossario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Manuale officina KDI 2504TCR / KDI 2504TCRE5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276424431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792915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34572597" w:name="ctxt"/>
    <w:bookmarkEnd w:id="34572597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Glossario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Glossario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i/>
          <w:iCs/>
          <w:color w:val="00274C"/>
          <w:sz w:val="20"/>
          <w:szCs w:val="20"/>
          <w:u w:val="none"/>
        </w:rPr>
        <w:t xml:space="preserve">A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ACACT: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After Charge Air Cooler Temperature - Temperatura aria dopo l'intercooler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Albero a gomito: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Componente che trasforma un moto rettilineo in moto rotatorio, o viceversa.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Alesaggio: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Diametro interno del cilindro nei motori a scoppio.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Alternatore: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Componente che trasforma l'energia meccanica in energia elettrica a corrente alternata.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ATS: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"After Treatment System" - Sistema post trattamento, riferito ai gas di scarico prodotti dal motore.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i/>
          <w:iCs/>
          <w:color w:val="00274C"/>
          <w:sz w:val="20"/>
          <w:szCs w:val="20"/>
          <w:u w:val="none"/>
        </w:rPr>
        <w:t xml:space="preserve">C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CAN: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"Controller Area Network" - noto anche come CAN-bus è uno standard di comunicazione dati per le ECU.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Catalizzatore: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vedere "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DOC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"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"Comunità Europea".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Centralina: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Vedere "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ECU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".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Combustione: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Reazione chimica di una miscela composta da un carburante e un comburente (aria) all'interno di una camera di combustione.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Common Rail: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"Condotto Comune", ad alta pressione che genera una riserva costante di carburante diretta agli elettroiniettori.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Condizioni gravose: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Tipo di condizione estrema riferita all'ambiente di lavoro in cui il motore è utilizzato (aree molto polverose - sporche, o con atmosfera contaminata da vario tipo di gas).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Configurazione base: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Motore con componenti rappresentati in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Par. 1.4 - 1.5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Coppia: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Forza esercitata su un oggetto che ruota su un asse.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Coppia di serraggio: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Termine indicato per il serraggio dei componenti filettati ed è determinata tramite unità di misura del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i/>
          <w:iCs/>
          <w:color w:val="00274C"/>
          <w:sz w:val="20"/>
          <w:szCs w:val="20"/>
          <w:u w:val="none"/>
        </w:rPr>
        <w:t xml:space="preserve">D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Dispositivo equilibratore: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Dispositivo che riduce le vibrazioni causate dal movimento delle masse alterne (Albero a gomito - Bielle - Pistoni).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DOC: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"Diesel Oxidation Catalyst" - Catalizzatore per motori diesel, è un abbattitore delle emissioni nocive di gas di scarico prodotte dal motore.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DPF: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"Diesel Particulate Filter" - Filtro particolato diesel, è un filtro che provvede alla cattura delle particelle di origine carboniosa emesso dai motori diesel.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i/>
          <w:iCs/>
          <w:color w:val="00274C"/>
          <w:sz w:val="20"/>
          <w:szCs w:val="20"/>
          <w:u w:val="none"/>
        </w:rPr>
        <w:t xml:space="preserve">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ECS: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"Emission Control System - Sistema di controllo emissioni".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ECU: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"Electronic Control Unit - Unità di controllo elettronico", dispositivo elettronico preposto a rilevare e a controllare elettronicamente altri dispositivi a comando elettronico.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EGR: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"Exhaust Gas Recirculation", nei motori a combustione interna, sistema che consente il ricircolo dei gas combusti attraverso il reinserimento degli stessi in aspirazione, consente di abbattere una parte di inquinanti presenti nei gas di scarico.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EGR Cooler: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Reffreddamento dei gas di scarico ricircolati, sistema che consente di raffreddare i gas ricircolati (EGR) provenienti dallo scarico, questo permette di mantenere costante la temperatura all'interno del collettore di aspirazione, migliorando la combustione all'interno dei cilindri e abbattere ulteriormente gli inquinanti.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EGR-T: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"Exhaust Gas Recirculation Temperature" - Sensore Temperatura gas EGR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EGTS: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"Exhaust Gas Temperature Sensor" - Sensore Temperatura Gas di Scarico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Elettroiniettore: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Componente azionato elettronicamente, atto a iniettare getti di carburante nebulizzato all'interno del cilindro.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EPA: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"Environmental Protection Agency" - "Agenzia per la protezione dell'ambiente". E' l'ente statunitense per la tutela dell'ambiente, si occupa di regolare e controllare le emissioni inquinanti.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ETB: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"Electronic Throttle Body" - Valvola a farfalla a controllo elettronico, viene comandata dalla ECU su richiesta del pedale acceleratore, la sua funzione è determinante per la corretta rigenerazione del sistema ATS.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i/>
          <w:iCs/>
          <w:color w:val="00274C"/>
          <w:sz w:val="20"/>
          <w:szCs w:val="20"/>
          <w:u w:val="none"/>
        </w:rPr>
        <w:t xml:space="preserve">F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Figura.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Funzionamento al minimo regime di rotazione: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Funzionamento del motore in moto a veicolo fermo o al minimo dei giri.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Funzionamento in potenza: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Funzionamento del motore ad un regime di giri elevato.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i/>
          <w:iCs/>
          <w:color w:val="00274C"/>
          <w:sz w:val="20"/>
          <w:szCs w:val="20"/>
          <w:u w:val="none"/>
        </w:rPr>
        <w:t xml:space="preserve">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Galvanizzato: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Materiale che è stato sottoposto al trattamento protettivo delle superfici.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Gruppi funzionali: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Componente o gruppi di componenti principali atti a svolgere una specifica funzione sul motore.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i/>
          <w:iCs/>
          <w:color w:val="00274C"/>
          <w:sz w:val="20"/>
          <w:szCs w:val="20"/>
          <w:u w:val="none"/>
        </w:rPr>
        <w:t xml:space="preserve">H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Heater: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Dispositivo che riscalda aria in aspirazione tramite resistenza elettrica.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i/>
          <w:iCs/>
          <w:color w:val="00274C"/>
          <w:sz w:val="20"/>
          <w:szCs w:val="20"/>
          <w:u w:val="none"/>
        </w:rPr>
        <w:t xml:space="preserve">I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Intercooler: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Elemento di raffreddamento dell'aria in pressione proveniente dal turbo, situato tra la turbina e il collettore di aspirazione.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i/>
          <w:iCs/>
          <w:color w:val="00274C"/>
          <w:sz w:val="20"/>
          <w:szCs w:val="20"/>
          <w:u w:val="none"/>
        </w:rPr>
        <w:t xml:space="preserve">K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"Kohler Direct Injection - Kohler Iniezione Diretta".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i/>
          <w:iCs/>
          <w:color w:val="00274C"/>
          <w:sz w:val="20"/>
          <w:szCs w:val="20"/>
          <w:u w:val="none"/>
        </w:rPr>
        <w:t xml:space="preserve">M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Manutenzione periodica: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Insieme delle azioni manutentive che hanno quale unico scopo quello di controllare o sostituire elementi alle scadenze previste, senza modificare o migliorare le funzioni svolte dal sistema, né aumentarne il valore, né migliorarne le prestazioni.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"Massimo".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Metilestere: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(o esteri metilici), miscela prodotta mediante la conversione chimica degli oli e dei grassi animali e/o vegetali, che serve alla produzione di Biocarburante.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Min.: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"Minuti".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"Minimo".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Model: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"Modello", (targhetta identificazione motore) indica il modello motore.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i/>
          <w:iCs/>
          <w:color w:val="00274C"/>
          <w:sz w:val="20"/>
          <w:szCs w:val="20"/>
          <w:u w:val="none"/>
        </w:rPr>
        <w:t xml:space="preserve">N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N/C: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"Normally Closed - Normalmente Chiuso", riferito agli interruttori (interruttore pressione olio).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i/>
          <w:iCs/>
          <w:color w:val="00274C"/>
          <w:sz w:val="20"/>
          <w:szCs w:val="20"/>
          <w:u w:val="none"/>
        </w:rPr>
        <w:t xml:space="preserve">O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Officina autorizzata: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Centro assistenza autorizzato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KOHLER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Cooler: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Piccolo radiatore che serva a raffreddare l'olio.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Olio esausto: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Olio alterato dal funzionamento o dal tempo, non più conforme per la corretta lubrificazione dei componenti.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i/>
          <w:iCs/>
          <w:color w:val="00274C"/>
          <w:sz w:val="20"/>
          <w:szCs w:val="20"/>
          <w:u w:val="none"/>
        </w:rPr>
        <w:t xml:space="preserve">P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Paragrafo.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Parafina: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Sostanza grassa e solida che potrebbe crearsi all'interno del gasolio.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PMI: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"Punto Morto Inferiore", momento in cui il pistone si trova all'inizio della sua corsa.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PMS: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"Punto Morto Superiore", momento in cui il pistone si trova alla fine della sua corsa.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Poly-V: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"Multipla V", il nome associato alla cinghia dei servizi, deriva dal profilo della sua sezione che è costruito con delle "V" affiancate.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Ppm: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"Parti per milione".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Pump Learning: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Procedura automatica eseguita dalla ECU (tramite strumento diagnostico -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ST_01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) per apprendere le caratteristiche funzionali della pompa alimentazione carburante (in caso di sostituzione della pompa iniezione o della ECU).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PTO: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"Power Take Off" - "Presa di potenza", punto previsto per usufruire di una trasmissione del moto alternativa.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i/>
          <w:iCs/>
          <w:color w:val="00274C"/>
          <w:sz w:val="20"/>
          <w:szCs w:val="20"/>
          <w:u w:val="none"/>
        </w:rPr>
        <w:t xml:space="preserve">Q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QR: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"Quick Response" (code) - "Codice QR", codice a barre bidimensionale a matrice, composto da moduli neri disposti all'interno di uno schema di forma quadrata.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i/>
          <w:iCs/>
          <w:color w:val="00274C"/>
          <w:sz w:val="20"/>
          <w:szCs w:val="20"/>
          <w:u w:val="none"/>
        </w:rPr>
        <w:t xml:space="preserve">R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Rif.: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Riferimento.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Rpm: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"Rounds per minute - Giri per minuto".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Ruota fonica: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Ruota che è parte di un dispositivo per il controllo di un moto angolare, tramite dei denti posti sulla sua circonferenza, permette di determinare e trasmettere ad un sensore la velocità e posizione dell'albero a gomito.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b/>
          <w:bCs/>
          <w:i/>
          <w:iCs/>
          <w:color w:val="00274C"/>
          <w:sz w:val="30"/>
          <w:szCs w:val="3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i/>
          <w:iCs/>
          <w:color w:val="00274C"/>
          <w:sz w:val="20"/>
          <w:szCs w:val="20"/>
          <w:u w:val="none"/>
        </w:rPr>
        <w:t xml:space="preserve">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Scovolino: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Strumento avente corpo cilindrico in metallo con setole che fuoriescono verso l'esterno. Simile ad uno spazzolino, serve a pulire zone in cui non è possibile accedere con le mani (es. condotti dell'olio all'interno del motore).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SCV: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"Suction Control Valve - Valvola Controllo Aspirazione", è situata sulla pompa iniezione ad alta pressione, viene controllata direttamente dalla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ECU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regolando l'aspirazione del carburante da inviare al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Common Rail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Smerigliatura (valvole e sedi):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Operazione di pulizia per valvole e sedi eseguita con pasta abrasiva (per questa operazione rivolgersi alle stazioni di servizio autorizzate).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s/n: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"Serial number", (targhetta identificazione motore) indica il "numero di serie/matricola" di identificazione motore.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Spec.: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"Specification", (targhetta identificazione motore) indica la versione motore.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Stazioni di servizio autorizzate: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Officine autorizzate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KOHLER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STD: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(Standard), configurazione base di un componente o un insieme di componenti.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i/>
          <w:iCs/>
          <w:color w:val="00274C"/>
          <w:sz w:val="20"/>
          <w:szCs w:val="20"/>
          <w:u w:val="none"/>
        </w:rPr>
        <w:t xml:space="preserve">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Tabella.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T-MAP: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"T-MAP (sensore)", provvede a misurare la temperatura e la pressione assoluta all'interno del collettore aspirazione.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TCR: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"Turbo Common Rail".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Traferro: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Distanza da rispettare tra un componente fisso ed uno in movimento.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Trocoidale: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Profilo dentato arrotondato (detto anche "a lobi").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Turbocompressore: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Dispositivo che comprime aria aspirata inviandola al collettore aspirazione, tramite una turbina.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i/>
          <w:iCs/>
          <w:color w:val="00274C"/>
          <w:sz w:val="20"/>
          <w:szCs w:val="20"/>
          <w:u w:val="none"/>
        </w:rPr>
        <w:t xml:space="preserve">V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Valvola EGR: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Dispositivo comandato eletronicamente che regola l'entrata dei gas di scarico ricircolati all'interno del collettore di aspirazione.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Valvola Termostatica: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Valvola che regola il flusso del liquido refrigerante, essa è in grado di operare tramite la variazione della temperatura.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Valvola Waste-Gate: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Dispositivo, a comando diretto o automatico, serve a limitare la pressione dei gas di scarico all'interno della turbina.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i/>
          <w:iCs/>
          <w:color w:val="00274C"/>
          <w:sz w:val="20"/>
          <w:szCs w:val="20"/>
          <w:u w:val="none"/>
        </w:rPr>
        <w:t xml:space="preserve">W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Warning Lamp: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Spia (solitamente di colore rossa) che indica un anomalia grave durante il funzionamento del motore.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 15.1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SIMBOLI E UNITÀ DI MISURA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SIMBOLO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UNITÀ DI MISURA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DESCRIZIONE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ESEMPIO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α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grado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Angolo di rotazione/inclinazione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1°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cm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centimetro quadrato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Area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cm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2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Ø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millimetro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Circonferenza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Ø 1 mm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Nm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newton-metro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Coppia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Nm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mm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millimetro</w:t>
            </w:r>
          </w:p>
        </w:tc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Lunghezza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mm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µm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1/1000 di millimetro (micron)</w:t>
            </w:r>
          </w:p>
        </w:tc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µm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ora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Tempo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h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g/kWh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grammo per chiloWatt per ora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Consumo specifico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g/kWh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kg/h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chilogrammo per ora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Portata massima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kg/h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Lt./min.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litri per minuto</w:t>
            </w:r>
          </w:p>
        </w:tc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Portata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Lt./min.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Lt./h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litri per ora</w:t>
            </w:r>
          </w:p>
        </w:tc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Lt./h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ppm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parti per milione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Percentuale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ppm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newton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Forza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Ampere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Intensità della corrente elettrica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A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gr.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grammo</w:t>
            </w:r>
          </w:p>
        </w:tc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Peso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gr.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chilogrammo</w:t>
            </w:r>
          </w:p>
        </w:tc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kg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Watt</w:t>
            </w:r>
          </w:p>
        </w:tc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Potenza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W.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kiloWatt</w:t>
            </w:r>
          </w:p>
        </w:tc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kW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pascal</w:t>
            </w:r>
          </w:p>
        </w:tc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Pressione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pa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KPa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Chilopascal</w:t>
            </w:r>
          </w:p>
        </w:tc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KPa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bar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pressione barometrica</w:t>
            </w:r>
          </w:p>
        </w:tc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bar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mbar (1/1000 bar)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pressione barometrica</w:t>
            </w:r>
          </w:p>
        </w:tc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mbar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Resistenza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Resistenza alla corrente elettrica (riferito ad un componente)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Ω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Ω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ohm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Resistenza della corrente elettrica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Ω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Rpm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giri per minuto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Rotazione di un asse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Rpm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rugosità media espressa in micron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Rugosità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Ra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°C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grado centrigado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Temperatura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1°C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Volt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Tensione elettrica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V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1"/>
              </w:rPr>
              <w:drawing>
                <wp:inline distT="0" distB="0" distL="0" distR="0">
                  <wp:extent cx="64800" cy="72000"/>
                  <wp:effectExtent b="0" l="0" r="0" t="0"/>
                  <wp:docPr id="80101021" name="name91186aa407674aeda" descr="eagona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agonale.png"/>
                          <pic:cNvPicPr/>
                        </pic:nvPicPr>
                        <pic:blipFill>
                          <a:blip r:embed="rId30016aa407674ae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7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millimetro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Testa vite esagonale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1"/>
              </w:rPr>
              <w:drawing>
                <wp:inline distT="0" distB="0" distL="0" distR="0">
                  <wp:extent cx="64800" cy="72000"/>
                  <wp:effectExtent b="0" l="0" r="0" t="0"/>
                  <wp:docPr id="51350624" name="name65576aa40767509cf" descr="eagona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agonale.png"/>
                          <pic:cNvPicPr/>
                        </pic:nvPicPr>
                        <pic:blipFill>
                          <a:blip r:embed="rId57226aa40767509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7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1 mm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cm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3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centimetro cubo</w:t>
            </w:r>
          </w:p>
        </w:tc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Volume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cm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3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Lt.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litro</w:t>
            </w:r>
          </w:p>
        </w:tc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Lt.</w:t>
            </w:r>
          </w:p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6571">
    <w:multiLevelType w:val="hybridMultilevel"/>
    <w:lvl w:ilvl="0" w:tplc="14637167">
      <w:start w:val="1"/>
      <w:numFmt w:val="decimal"/>
      <w:lvlText w:val="%1."/>
      <w:lvlJc w:val="left"/>
      <w:pPr>
        <w:ind w:left="720" w:hanging="360"/>
      </w:pPr>
    </w:lvl>
    <w:lvl w:ilvl="1" w:tplc="14637167" w:tentative="1">
      <w:start w:val="1"/>
      <w:numFmt w:val="lowerLetter"/>
      <w:lvlText w:val="%2."/>
      <w:lvlJc w:val="left"/>
      <w:pPr>
        <w:ind w:left="1440" w:hanging="360"/>
      </w:pPr>
    </w:lvl>
    <w:lvl w:ilvl="2" w:tplc="14637167" w:tentative="1">
      <w:start w:val="1"/>
      <w:numFmt w:val="lowerRoman"/>
      <w:lvlText w:val="%3."/>
      <w:lvlJc w:val="right"/>
      <w:pPr>
        <w:ind w:left="2160" w:hanging="180"/>
      </w:pPr>
    </w:lvl>
    <w:lvl w:ilvl="3" w:tplc="14637167" w:tentative="1">
      <w:start w:val="1"/>
      <w:numFmt w:val="decimal"/>
      <w:lvlText w:val="%4."/>
      <w:lvlJc w:val="left"/>
      <w:pPr>
        <w:ind w:left="2880" w:hanging="360"/>
      </w:pPr>
    </w:lvl>
    <w:lvl w:ilvl="4" w:tplc="14637167" w:tentative="1">
      <w:start w:val="1"/>
      <w:numFmt w:val="lowerLetter"/>
      <w:lvlText w:val="%5."/>
      <w:lvlJc w:val="left"/>
      <w:pPr>
        <w:ind w:left="3600" w:hanging="360"/>
      </w:pPr>
    </w:lvl>
    <w:lvl w:ilvl="5" w:tplc="14637167" w:tentative="1">
      <w:start w:val="1"/>
      <w:numFmt w:val="lowerRoman"/>
      <w:lvlText w:val="%6."/>
      <w:lvlJc w:val="right"/>
      <w:pPr>
        <w:ind w:left="4320" w:hanging="180"/>
      </w:pPr>
    </w:lvl>
    <w:lvl w:ilvl="6" w:tplc="14637167" w:tentative="1">
      <w:start w:val="1"/>
      <w:numFmt w:val="decimal"/>
      <w:lvlText w:val="%7."/>
      <w:lvlJc w:val="left"/>
      <w:pPr>
        <w:ind w:left="5040" w:hanging="360"/>
      </w:pPr>
    </w:lvl>
    <w:lvl w:ilvl="7" w:tplc="14637167" w:tentative="1">
      <w:start w:val="1"/>
      <w:numFmt w:val="lowerLetter"/>
      <w:lvlText w:val="%8."/>
      <w:lvlJc w:val="left"/>
      <w:pPr>
        <w:ind w:left="5760" w:hanging="360"/>
      </w:pPr>
    </w:lvl>
    <w:lvl w:ilvl="8" w:tplc="146371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70">
    <w:multiLevelType w:val="hybridMultilevel"/>
    <w:lvl w:ilvl="0" w:tplc="783427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6570">
    <w:abstractNumId w:val="16570"/>
  </w:num>
  <w:num w:numId="16571">
    <w:abstractNumId w:val="165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929140511" Type="http://schemas.openxmlformats.org/officeDocument/2006/relationships/comments" Target="comments.xml"/><Relationship Id="rId181751376" Type="http://schemas.microsoft.com/office/2011/relationships/commentsExtended" Target="commentsExtended.xml"/><Relationship Id="rId79291506" Type="http://schemas.openxmlformats.org/officeDocument/2006/relationships/image" Target="media/imgrId79291506.jpg"/><Relationship Id="rId30016aa407674aed7" Type="http://schemas.openxmlformats.org/officeDocument/2006/relationships/image" Target="media/imgrId30016aa407674aed7.png"/><Relationship Id="rId57226aa40767509cb" Type="http://schemas.openxmlformats.org/officeDocument/2006/relationships/image" Target="media/imgrId57226aa40767509cb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9291506" Type="http://schemas.openxmlformats.org/officeDocument/2006/relationships/image" Target="media/imgrId79291506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9291506" Type="http://schemas.openxmlformats.org/officeDocument/2006/relationships/image" Target="media/imgrId79291506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9291506" Type="http://schemas.openxmlformats.org/officeDocument/2006/relationships/image" Target="media/imgrId79291506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9291506" Type="http://schemas.openxmlformats.org/officeDocument/2006/relationships/image" Target="media/imgrId79291506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9291506" Type="http://schemas.openxmlformats.org/officeDocument/2006/relationships/image" Target="media/imgrId79291506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9291506" Type="http://schemas.openxmlformats.org/officeDocument/2006/relationships/image" Target="media/imgrId79291506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