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63321551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3700955"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2370977" w:name="ctxt"/>
    <w:bookmarkEnd w:id="92370977"/>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072"/>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REHLKO</w:t>
            </w:r>
            <w:r>
              <w:rPr>
                <w:color w:val="00274C"/>
                <w:position w:val="-2"/>
                <w:sz w:val="20"/>
                <w:szCs w:val="20"/>
                <w:u w:val="none"/>
              </w:rPr>
              <w:t xml:space="preserve"> .</w:t>
            </w:r>
          </w:p>
          <w:p>
            <w:pPr>
              <w:numPr>
                <w:ilvl w:val="0"/>
                <w:numId w:val="13072"/>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REHLKO </w:t>
            </w:r>
            <w:r>
              <w:rPr>
                <w:color w:val="00274C"/>
                <w:position w:val="-2"/>
                <w:sz w:val="20"/>
                <w:szCs w:val="20"/>
                <w:u w:val="none"/>
              </w:rPr>
              <w:t xml:space="preserve"> personnel.</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r>
              <w:rPr>
                <w:b/>
                <w:bCs/>
                <w:color w:val="00274C"/>
                <w:position w:val="-2"/>
                <w:sz w:val="20"/>
                <w:szCs w:val="20"/>
                <w:u w:val="none"/>
              </w:rPr>
              <w:t xml:space="preserve">Par. 3.4.3.</w:t>
            </w:r>
          </w:p>
          <w:p>
            <w:pPr>
              <w:numPr>
                <w:ilvl w:val="0"/>
                <w:numId w:val="13072"/>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3072"/>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For </w:t>
            </w:r>
            <w:r>
              <w:rPr>
                <w:b/>
                <w:bCs/>
                <w:color w:val="00274C"/>
                <w:position w:val="-2"/>
                <w:sz w:val="20"/>
                <w:szCs w:val="20"/>
                <w:u w:val="none"/>
              </w:rPr>
              <w:t xml:space="preserve">K-HEM</w:t>
            </w:r>
            <w:r>
              <w:rPr>
                <w:color w:val="00274C"/>
                <w:position w:val="-2"/>
                <w:sz w:val="20"/>
                <w:szCs w:val="20"/>
                <w:u w:val="none"/>
              </w:rPr>
              <w:t xml:space="preserve"> model: any work on the hybrid unit is forbidden. In case of malfunction, contact the authorised </w:t>
            </w:r>
            <w:r>
              <w:rPr>
                <w:b/>
                <w:bCs/>
                <w:color w:val="00274C"/>
                <w:position w:val="-2"/>
                <w:sz w:val="20"/>
                <w:szCs w:val="20"/>
                <w:u w:val="none"/>
              </w:rPr>
              <w:t xml:space="preserve">REHLKO</w:t>
            </w:r>
            <w:r>
              <w:rPr>
                <w:color w:val="00274C"/>
                <w:position w:val="-2"/>
                <w:sz w:val="20"/>
                <w:szCs w:val="20"/>
                <w:u w:val="none"/>
              </w:rPr>
              <w:t xml:space="preserve">  workshops.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3.3.1 Note for OEM</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When installing the </w:t>
            </w:r>
            <w:r>
              <w:rPr>
                <w:b/>
                <w:bCs/>
                <w:color w:val="00274C"/>
                <w:position w:val="-2"/>
                <w:sz w:val="20"/>
                <w:szCs w:val="20"/>
                <w:u w:val="none"/>
              </w:rPr>
              <w:t xml:space="preserve">KDW / K-HEM</w:t>
            </w:r>
            <w:r>
              <w:rPr>
                <w:color w:val="00274C"/>
                <w:position w:val="-2"/>
                <w:sz w:val="20"/>
                <w:szCs w:val="20"/>
                <w:u w:val="none"/>
              </w:rPr>
              <w:t xml:space="preserve"> engines, always bear in mind that any variation to the functional systems may involve serious failures to the engine.</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In the event  </w:t>
            </w:r>
            <w:r>
              <w:rPr>
                <w:b/>
                <w:bCs/>
                <w:color w:val="000000"/>
                <w:position w:val="-2"/>
                <w:sz w:val="20"/>
                <w:szCs w:val="20"/>
                <w:u w:val="none"/>
              </w:rPr>
              <w:t xml:space="preserve">REHLKO </w:t>
            </w:r>
            <w:r>
              <w:rPr>
                <w:color w:val="00274C"/>
                <w:position w:val="-2"/>
                <w:sz w:val="20"/>
                <w:szCs w:val="20"/>
                <w:u w:val="none"/>
              </w:rPr>
              <w:t xml:space="preserve"> does not approve the type of modification,  </w:t>
            </w:r>
            <w:r>
              <w:rPr>
                <w:b/>
                <w:bCs/>
                <w:color w:val="000000"/>
                <w:position w:val="-2"/>
                <w:sz w:val="20"/>
                <w:szCs w:val="20"/>
                <w:u w:val="none"/>
              </w:rPr>
              <w:t xml:space="preserve">REHLKO </w:t>
            </w:r>
            <w:r>
              <w:rPr>
                <w:color w:val="00274C"/>
                <w:position w:val="-2"/>
                <w:sz w:val="20"/>
                <w:szCs w:val="20"/>
                <w:u w:val="none"/>
              </w:rPr>
              <w:t xml:space="preserve"> shall not be held responsible for any consequential operation anomalies that the engine may undergo and any damage the engine may cause to persons and things.</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0000"/>
                <w:position w:val="-2"/>
                <w:sz w:val="20"/>
                <w:szCs w:val="20"/>
                <w:u w:val="none"/>
              </w:rPr>
              <w:t xml:space="preserve">REHLKO </w:t>
            </w:r>
            <w:r>
              <w:rPr>
                <w:color w:val="00274C"/>
                <w:position w:val="-2"/>
                <w:sz w:val="20"/>
                <w:szCs w:val="20"/>
                <w:u w:val="none"/>
              </w:rPr>
              <w:t xml:space="preserve"> and who work in compliance with the existing documentation.</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widowControl w:val="on"/>
              <w:pBdr/>
              <w:spacing w:before="0" w:after="0" w:line="262" w:lineRule="auto"/>
              <w:ind w:left="0" w:right="0"/>
              <w:jc w:val="left"/>
              <w:textAlignment w:val="center"/>
            </w:pPr>
            <w:r>
              <w:rPr>
                <w:b/>
                <w:bCs/>
                <w:color w:val="00274C"/>
                <w:position w:val="-2"/>
                <w:sz w:val="20"/>
                <w:szCs w:val="20"/>
                <w:u w:val="none"/>
              </w:rPr>
              <w:br/>
              <w:t xml:space="preserve">3.3.2 Note for end user</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0000"/>
                <w:position w:val="-2"/>
                <w:sz w:val="20"/>
                <w:szCs w:val="20"/>
                <w:u w:val="none"/>
              </w:rPr>
              <w:t xml:space="preserve">REHLKO </w:t>
            </w:r>
            <w:r>
              <w:rPr>
                <w:color w:val="00274C"/>
                <w:position w:val="-2"/>
                <w:sz w:val="20"/>
                <w:szCs w:val="20"/>
                <w:u w:val="none"/>
              </w:rPr>
              <w:t xml:space="preserve"> and who work in compliance with the existing documentation.</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Do not use jets of air and water at high pressure on the cables, connectors and electronic injectors.</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For engines equipped with ATS device, it is necessary to inhibit regeneration if using the engine in environments featuring risk of fire (e.g.: woods, areas containing flammable materials, areas containing flammable gas or liquids and any type of combustible material - if this function is available).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465217" name="name90856aa8426c0f5a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416aa8426c0f5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0000"/>
                <w:position w:val="-2"/>
                <w:sz w:val="20"/>
                <w:szCs w:val="20"/>
                <w:u w:val="none"/>
              </w:rPr>
              <w:t xml:space="preserve">REHLKO</w:t>
            </w:r>
            <w:r>
              <w:rPr>
                <w:color w:val="00274C"/>
                <w:position w:val="-2"/>
                <w:sz w:val="20"/>
                <w:szCs w:val="20"/>
                <w:u w:val="none"/>
              </w:rPr>
              <w:t xml:space="preserve">  to move the engine </w:t>
            </w:r>
            <w:r>
              <w:rPr>
                <w:b/>
                <w:bCs/>
                <w:color w:val="00274C"/>
                <w:position w:val="-2"/>
                <w:sz w:val="20"/>
                <w:szCs w:val="20"/>
                <w:u w:val="none"/>
              </w:rPr>
              <w:t xml:space="preserve">.</w:t>
            </w:r>
          </w:p>
          <w:p>
            <w:pPr>
              <w:numPr>
                <w:ilvl w:val="0"/>
                <w:numId w:val="13072"/>
              </w:numPr>
              <w:spacing w:before="0" w:after="0" w:line="262" w:lineRule="auto"/>
              <w:jc w:val="left"/>
              <w:rPr>
                <w:color w:val="00274C"/>
                <w:sz w:val="20"/>
                <w:szCs w:val="20"/>
              </w:rPr>
            </w:pPr>
            <w:r>
              <w:rPr>
                <w:color w:val="00274C"/>
                <w:position w:val="-2"/>
                <w:sz w:val="20"/>
                <w:szCs w:val="20"/>
                <w:u w:val="none"/>
              </w:rPr>
              <w:br/>
              <w:t xml:space="preserve">The angle between each lifting chain and the eyebolts shall not exceed 15° inwards.</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The correct tightening of the lifting brace capscrews is  </w:t>
            </w:r>
            <w:r>
              <w:rPr>
                <w:b/>
                <w:bCs/>
                <w:color w:val="00274C"/>
                <w:position w:val="-2"/>
                <w:sz w:val="20"/>
                <w:szCs w:val="20"/>
                <w:u w:val="none"/>
              </w:rPr>
              <w:t xml:space="preserve">25 Nm</w:t>
            </w:r>
            <w:r>
              <w:rPr>
                <w:color w:val="00274C"/>
                <w:position w:val="-2"/>
                <w:sz w:val="20"/>
                <w:szCs w:val="20"/>
                <w:u w:val="none"/>
              </w:rPr>
              <w:t xml:space="preserve"> .</w:t>
            </w:r>
          </w:p>
          <w:p>
            <w:pPr>
              <w:numPr>
                <w:ilvl w:val="0"/>
                <w:numId w:val="13072"/>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widowControl w:val="on"/>
              <w:pBdr/>
              <w:spacing w:before="0" w:after="0" w:line="262" w:lineRule="auto"/>
              <w:ind w:left="0" w:right="0"/>
              <w:jc w:val="left"/>
              <w:textAlignment w:val="center"/>
            </w:pPr>
            <w:r>
              <w:rPr>
                <w:position w:val="-263"/>
              </w:rPr>
              <w:drawing>
                <wp:inline distT="0" distB="0" distL="0" distR="0">
                  <wp:extent cx="4471200" cy="3348000"/>
                  <wp:effectExtent b="0" l="0" r="0" t="0"/>
                  <wp:docPr id="89144519" name="name61986aa8426c1b6a1" descr="Cap_3_0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Tavola%2520disegno%25201.png"/>
                          <pic:cNvPicPr/>
                        </pic:nvPicPr>
                        <pic:blipFill>
                          <a:blip r:embed="rId46346aa8426c1b69d" cstate="print"/>
                          <a:stretch>
                            <a:fillRect/>
                          </a:stretch>
                        </pic:blipFill>
                        <pic:spPr>
                          <a:xfrm>
                            <a:off x="0" y="0"/>
                            <a:ext cx="44712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13072"/>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13072"/>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13072"/>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13072"/>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3.4.1 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35058107" name="name55956aa8426c224d0"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4746aa8426c224cd"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90859600" name="name74446aa8426c25e66"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14366aa8426c25e63"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29565649" name="name56556aa8426c29a05"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56616aa8426c29a02"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24683306" name="name49206aa8426c2d4fe"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85726aa8426c2d4fc"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64691482" name="name76896aa8426c312be"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59646aa8426c312bb"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13998533" name="name56966aa8426c35d88"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8816aa8426c35d85"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7222707" name="name85206aa8426c3dc7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236aa8426c3dc7c"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93137332" name="name59276aa8426c4534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2516aa8426c45349"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40227744" name="name38886aa8426c4c03c"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16966aa8426c4c039"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64133493" name="name85236aa8426c4f9df"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77116aa8426c4f9dd"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68701293" name="name26016aa8426c538c3"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46466aa8426c538c0"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0193250" name="name15676aa8426c5730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9836aa8426c5730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950995" name="name32096aa8426c5b04a"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67156aa8426c5b04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5721543" name="name44156aa8426c645d3"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36156aa8426c645d1"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85115" name="name44466aa8426c6a5a3"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55576aa8426c6a5a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3059831" name="name11446aa8426c6dfa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346aa8426c6df9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0650013" name="name40256aa8426c71f4f"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32126aa8426c71f4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0606984" name="name13506aa8426c75d6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3576aa8426c75d6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5682450" name="name57126aa8426c79eb7"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49656aa8426c79eb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668549" name="name85146aa8426c7d4e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086aa8426c7d4e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724906" name="name11676aa8426c80841"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2016aa8426c8083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6293052" name="name68376aa8426c8392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1266aa8426c8391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9925622" name="name47726aa8426c88dcf"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33776aa8426c88dc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1165218" name="name56186aa8426c8c70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396aa8426c8c70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7502454" name="name25146aa8426c8f8c8"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73726aa8426c8f8c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0256432" name="name98436aa8426c943b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496aa8426c943b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268710" name="name77296aa8426c98315"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13946aa8426c9831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298711" name="name41046aa8426c9c98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776aa8426c9c98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1447108" name="name24566aa8426ca3b80"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86156aa8426ca3b7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7145019" name="name17346aa8426ca72b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156aa8426ca72a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p/>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numPr>
          <w:ilvl w:val="0"/>
          <w:numId w:val="13072"/>
        </w:numPr>
        <w:spacing w:before="0" w:after="0" w:line="240" w:lineRule="auto"/>
        <w:jc w:val="left"/>
        <w:rPr>
          <w:color w:val="00274C"/>
          <w:sz w:val="20"/>
          <w:szCs w:val="20"/>
        </w:rPr>
      </w:pPr>
      <w:r>
        <w:rPr>
          <w:color w:val="00274C"/>
          <w:sz w:val="20"/>
          <w:szCs w:val="20"/>
          <w:u w:val="none"/>
        </w:rPr>
        <w:t xml:space="preserve">Disposal of liquids.</w:t>
      </w:r>
    </w:p>
    <w:p>
      <w:pPr>
        <w:numPr>
          <w:ilvl w:val="0"/>
          <w:numId w:val="13072"/>
        </w:numPr>
        <w:spacing w:before="0" w:after="0" w:line="240" w:lineRule="auto"/>
        <w:jc w:val="left"/>
        <w:rPr>
          <w:color w:val="00274C"/>
          <w:sz w:val="20"/>
          <w:szCs w:val="20"/>
        </w:rPr>
      </w:pPr>
      <w:r>
        <w:rPr>
          <w:color w:val="00274C"/>
          <w:sz w:val="20"/>
          <w:szCs w:val="20"/>
          <w:u w:val="none"/>
        </w:rPr>
        <w:t xml:space="preserve">Waste management.</w:t>
      </w:r>
    </w:p>
    <w:p>
      <w:pPr>
        <w:numPr>
          <w:ilvl w:val="0"/>
          <w:numId w:val="13072"/>
        </w:numPr>
        <w:spacing w:before="0" w:after="0" w:line="240" w:lineRule="auto"/>
        <w:jc w:val="left"/>
        <w:rPr>
          <w:color w:val="00274C"/>
          <w:sz w:val="20"/>
          <w:szCs w:val="20"/>
        </w:rPr>
      </w:pPr>
      <w:r>
        <w:rPr>
          <w:color w:val="00274C"/>
          <w:sz w:val="20"/>
          <w:szCs w:val="20"/>
          <w:u w:val="none"/>
        </w:rPr>
        <w:t xml:space="preserve">Soil contamination.</w:t>
      </w:r>
    </w:p>
    <w:p>
      <w:pPr>
        <w:numPr>
          <w:ilvl w:val="0"/>
          <w:numId w:val="13072"/>
        </w:numPr>
        <w:spacing w:before="0" w:after="0" w:line="240" w:lineRule="auto"/>
        <w:jc w:val="left"/>
        <w:rPr>
          <w:color w:val="00274C"/>
          <w:sz w:val="20"/>
          <w:szCs w:val="20"/>
        </w:rPr>
      </w:pPr>
      <w:r>
        <w:rPr>
          <w:color w:val="00274C"/>
          <w:sz w:val="20"/>
          <w:szCs w:val="20"/>
          <w:u w:val="none"/>
        </w:rPr>
        <w:t xml:space="preserve">Atmospheric emissions.</w:t>
      </w:r>
    </w:p>
    <w:p>
      <w:pPr>
        <w:numPr>
          <w:ilvl w:val="0"/>
          <w:numId w:val="13072"/>
        </w:numPr>
        <w:spacing w:before="0" w:after="0" w:line="240" w:lineRule="auto"/>
        <w:jc w:val="left"/>
        <w:rPr>
          <w:color w:val="00274C"/>
          <w:sz w:val="20"/>
          <w:szCs w:val="20"/>
        </w:rPr>
      </w:pPr>
      <w:r>
        <w:rPr>
          <w:color w:val="00274C"/>
          <w:sz w:val="20"/>
          <w:szCs w:val="20"/>
          <w:u w:val="none"/>
        </w:rPr>
        <w:t xml:space="preserve">Use of raw materials and natural resources.</w:t>
      </w:r>
    </w:p>
    <w:p>
      <w:pPr>
        <w:numPr>
          <w:ilvl w:val="0"/>
          <w:numId w:val="13072"/>
        </w:numPr>
        <w:spacing w:before="0" w:after="0" w:line="240" w:lineRule="auto"/>
        <w:jc w:val="left"/>
        <w:rPr>
          <w:color w:val="00274C"/>
          <w:sz w:val="20"/>
          <w:szCs w:val="20"/>
        </w:rPr>
      </w:pPr>
      <w:r>
        <w:rPr>
          <w:color w:val="00274C"/>
          <w:sz w:val="20"/>
          <w:szCs w:val="20"/>
          <w:u w:val="none"/>
        </w:rPr>
        <w:t xml:space="preserve">Regulations and directives regarding environmental impact.</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0000"/>
          <w:sz w:val="20"/>
          <w:szCs w:val="20"/>
          <w:u w:val="none"/>
        </w:rPr>
        <w:t xml:space="preserve">REHLKO </w:t>
      </w:r>
      <w:r>
        <w:rPr>
          <w:color w:val="00274C"/>
          <w:sz w:val="20"/>
          <w:szCs w:val="20"/>
          <w:u w:val="none"/>
        </w:rPr>
        <w:t xml:space="preserve"> provides some indications to be followed by all those handling the engine, for any reason, during its expected lifetime.</w:t>
      </w:r>
    </w:p>
    <w:p>
      <w:pPr>
        <w:numPr>
          <w:ilvl w:val="0"/>
          <w:numId w:val="13072"/>
        </w:numPr>
        <w:spacing w:before="0" w:after="0" w:line="240" w:lineRule="auto"/>
        <w:jc w:val="left"/>
        <w:rPr>
          <w:color w:val="00274C"/>
          <w:sz w:val="20"/>
          <w:szCs w:val="20"/>
        </w:rPr>
      </w:pPr>
      <w:r>
        <w:rPr>
          <w:color w:val="00274C"/>
          <w:sz w:val="20"/>
          <w:szCs w:val="20"/>
          <w:u w:val="none"/>
        </w:rPr>
        <w:t xml:space="preserve">All components and fluids must be disposed of in accordance with the laws of the country in which disposal is taking place.</w:t>
      </w:r>
    </w:p>
    <w:p>
      <w:pPr>
        <w:numPr>
          <w:ilvl w:val="0"/>
          <w:numId w:val="13072"/>
        </w:numPr>
        <w:spacing w:before="0" w:after="0" w:line="240" w:lineRule="auto"/>
        <w:jc w:val="left"/>
        <w:rPr>
          <w:color w:val="00274C"/>
          <w:sz w:val="20"/>
          <w:szCs w:val="20"/>
        </w:rPr>
      </w:pPr>
      <w:r>
        <w:rPr>
          <w:color w:val="00274C"/>
          <w:sz w:val="20"/>
          <w:szCs w:val="20"/>
          <w:u w:val="none"/>
        </w:rPr>
        <w:t xml:space="preserve">Keep the injection system as well as engine management and exhaust pipes in efficient working order to limit environmental and noise pollution.</w:t>
      </w:r>
    </w:p>
    <w:p>
      <w:pPr>
        <w:numPr>
          <w:ilvl w:val="0"/>
          <w:numId w:val="13072"/>
        </w:numPr>
        <w:spacing w:before="0" w:after="0" w:line="240" w:lineRule="auto"/>
        <w:jc w:val="left"/>
        <w:rPr>
          <w:color w:val="00274C"/>
          <w:sz w:val="20"/>
          <w:szCs w:val="20"/>
        </w:rPr>
      </w:pPr>
      <w:r>
        <w:rPr>
          <w:color w:val="00274C"/>
          <w:sz w:val="20"/>
          <w:szCs w:val="20"/>
          <w:u w:val="none"/>
        </w:rPr>
        <w:t xml:space="preserve">When decommissioning the engine, select all components according to their chemical characteristics and dispose of them separately.</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signals on engine</w:t>
      </w:r>
    </w:p>
    <w:p>
      <w:pPr>
        <w:widowControl w:val="on"/>
        <w:pBdr/>
        <w:spacing w:before="225" w:after="225" w:line="262" w:lineRule="auto"/>
        <w:ind w:left="0" w:right="0"/>
        <w:jc w:val="left"/>
      </w:pPr>
      <w:r>
        <w:drawing>
          <wp:inline distT="0" distB="0" distL="0" distR="0">
            <wp:extent cx="25099200" cy="17726400"/>
            <wp:effectExtent b="0" l="0" r="0" t="0"/>
            <wp:docPr id="23129214" name="name78916aa8426cc3355" descr="SEGNALI_SICUREZZA_FO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NALI_SICUREZZA_FOCS.jpg"/>
                    <pic:cNvPicPr/>
                  </pic:nvPicPr>
                  <pic:blipFill>
                    <a:blip r:embed="rId90726aa8426cc3351" cstate="print"/>
                    <a:stretch>
                      <a:fillRect/>
                    </a:stretch>
                  </pic:blipFill>
                  <pic:spPr>
                    <a:xfrm>
                      <a:off x="0" y="0"/>
                      <a:ext cx="25099200" cy="177264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073">
    <w:multiLevelType w:val="hybridMultilevel"/>
    <w:lvl w:ilvl="0" w:tplc="88248326">
      <w:start w:val="1"/>
      <w:numFmt w:val="decimal"/>
      <w:lvlText w:val="%1."/>
      <w:lvlJc w:val="left"/>
      <w:pPr>
        <w:ind w:left="720" w:hanging="360"/>
      </w:pPr>
    </w:lvl>
    <w:lvl w:ilvl="1" w:tplc="88248326" w:tentative="1">
      <w:start w:val="1"/>
      <w:numFmt w:val="lowerLetter"/>
      <w:lvlText w:val="%2."/>
      <w:lvlJc w:val="left"/>
      <w:pPr>
        <w:ind w:left="1440" w:hanging="360"/>
      </w:pPr>
    </w:lvl>
    <w:lvl w:ilvl="2" w:tplc="88248326" w:tentative="1">
      <w:start w:val="1"/>
      <w:numFmt w:val="lowerRoman"/>
      <w:lvlText w:val="%3."/>
      <w:lvlJc w:val="right"/>
      <w:pPr>
        <w:ind w:left="2160" w:hanging="180"/>
      </w:pPr>
    </w:lvl>
    <w:lvl w:ilvl="3" w:tplc="88248326" w:tentative="1">
      <w:start w:val="1"/>
      <w:numFmt w:val="decimal"/>
      <w:lvlText w:val="%4."/>
      <w:lvlJc w:val="left"/>
      <w:pPr>
        <w:ind w:left="2880" w:hanging="360"/>
      </w:pPr>
    </w:lvl>
    <w:lvl w:ilvl="4" w:tplc="88248326" w:tentative="1">
      <w:start w:val="1"/>
      <w:numFmt w:val="lowerLetter"/>
      <w:lvlText w:val="%5."/>
      <w:lvlJc w:val="left"/>
      <w:pPr>
        <w:ind w:left="3600" w:hanging="360"/>
      </w:pPr>
    </w:lvl>
    <w:lvl w:ilvl="5" w:tplc="88248326" w:tentative="1">
      <w:start w:val="1"/>
      <w:numFmt w:val="lowerRoman"/>
      <w:lvlText w:val="%6."/>
      <w:lvlJc w:val="right"/>
      <w:pPr>
        <w:ind w:left="4320" w:hanging="180"/>
      </w:pPr>
    </w:lvl>
    <w:lvl w:ilvl="6" w:tplc="88248326" w:tentative="1">
      <w:start w:val="1"/>
      <w:numFmt w:val="decimal"/>
      <w:lvlText w:val="%7."/>
      <w:lvlJc w:val="left"/>
      <w:pPr>
        <w:ind w:left="5040" w:hanging="360"/>
      </w:pPr>
    </w:lvl>
    <w:lvl w:ilvl="7" w:tplc="88248326" w:tentative="1">
      <w:start w:val="1"/>
      <w:numFmt w:val="lowerLetter"/>
      <w:lvlText w:val="%8."/>
      <w:lvlJc w:val="left"/>
      <w:pPr>
        <w:ind w:left="5760" w:hanging="360"/>
      </w:pPr>
    </w:lvl>
    <w:lvl w:ilvl="8" w:tplc="88248326" w:tentative="1">
      <w:start w:val="1"/>
      <w:numFmt w:val="lowerRoman"/>
      <w:lvlText w:val="%9."/>
      <w:lvlJc w:val="right"/>
      <w:pPr>
        <w:ind w:left="6480" w:hanging="180"/>
      </w:pPr>
    </w:lvl>
  </w:abstractNum>
  <w:abstractNum w:abstractNumId="13072">
    <w:multiLevelType w:val="hybridMultilevel"/>
    <w:lvl w:ilvl="0" w:tplc="89946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072">
    <w:abstractNumId w:val="13072"/>
  </w:num>
  <w:num w:numId="13073">
    <w:abstractNumId w:val="130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92168765" Type="http://schemas.openxmlformats.org/officeDocument/2006/relationships/comments" Target="comments.xml"/><Relationship Id="rId212103036" Type="http://schemas.microsoft.com/office/2011/relationships/commentsExtended" Target="commentsExtended.xml"/><Relationship Id="rId83700955" Type="http://schemas.openxmlformats.org/officeDocument/2006/relationships/image" Target="media/imgrId83700955.jpg"/><Relationship Id="rId32416aa8426c0f5ab" Type="http://schemas.openxmlformats.org/officeDocument/2006/relationships/image" Target="media/imgrId32416aa8426c0f5ab.jpg"/><Relationship Id="rId46346aa8426c1b69d" Type="http://schemas.openxmlformats.org/officeDocument/2006/relationships/image" Target="media/imgrId46346aa8426c1b69d.png"/><Relationship Id="rId64746aa8426c224cd" Type="http://schemas.openxmlformats.org/officeDocument/2006/relationships/image" Target="media/imgrId64746aa8426c224cd.jpg"/><Relationship Id="rId14366aa8426c25e63" Type="http://schemas.openxmlformats.org/officeDocument/2006/relationships/image" Target="media/imgrId14366aa8426c25e63.jpg"/><Relationship Id="rId56616aa8426c29a02" Type="http://schemas.openxmlformats.org/officeDocument/2006/relationships/image" Target="media/imgrId56616aa8426c29a02.jpg"/><Relationship Id="rId85726aa8426c2d4fc" Type="http://schemas.openxmlformats.org/officeDocument/2006/relationships/image" Target="media/imgrId85726aa8426c2d4fc.jpg"/><Relationship Id="rId59646aa8426c312bb" Type="http://schemas.openxmlformats.org/officeDocument/2006/relationships/image" Target="media/imgrId59646aa8426c312bb.jpg"/><Relationship Id="rId58816aa8426c35d85" Type="http://schemas.openxmlformats.org/officeDocument/2006/relationships/image" Target="media/imgrId58816aa8426c35d85.png"/><Relationship Id="rId48236aa8426c3dc7c" Type="http://schemas.openxmlformats.org/officeDocument/2006/relationships/image" Target="media/imgrId48236aa8426c3dc7c.png"/><Relationship Id="rId12516aa8426c45349" Type="http://schemas.openxmlformats.org/officeDocument/2006/relationships/image" Target="media/imgrId12516aa8426c45349.png"/><Relationship Id="rId16966aa8426c4c039" Type="http://schemas.openxmlformats.org/officeDocument/2006/relationships/image" Target="media/imgrId16966aa8426c4c039.jpg"/><Relationship Id="rId77116aa8426c4f9dd" Type="http://schemas.openxmlformats.org/officeDocument/2006/relationships/image" Target="media/imgrId77116aa8426c4f9dd.jpg"/><Relationship Id="rId46466aa8426c538c0" Type="http://schemas.openxmlformats.org/officeDocument/2006/relationships/image" Target="media/imgrId46466aa8426c538c0.jpg"/><Relationship Id="rId19836aa8426c57301" Type="http://schemas.openxmlformats.org/officeDocument/2006/relationships/image" Target="media/imgrId19836aa8426c57301.jpg"/><Relationship Id="rId67156aa8426c5b047" Type="http://schemas.openxmlformats.org/officeDocument/2006/relationships/image" Target="media/imgrId67156aa8426c5b047.jpg"/><Relationship Id="rId36156aa8426c645d1" Type="http://schemas.openxmlformats.org/officeDocument/2006/relationships/image" Target="media/imgrId36156aa8426c645d1.jpg"/><Relationship Id="rId55576aa8426c6a5a0" Type="http://schemas.openxmlformats.org/officeDocument/2006/relationships/image" Target="media/imgrId55576aa8426c6a5a0.jpg"/><Relationship Id="rId59346aa8426c6df9d" Type="http://schemas.openxmlformats.org/officeDocument/2006/relationships/image" Target="media/imgrId59346aa8426c6df9d.jpg"/><Relationship Id="rId32126aa8426c71f4d" Type="http://schemas.openxmlformats.org/officeDocument/2006/relationships/image" Target="media/imgrId32126aa8426c71f4d.jpg"/><Relationship Id="rId83576aa8426c75d6d" Type="http://schemas.openxmlformats.org/officeDocument/2006/relationships/image" Target="media/imgrId83576aa8426c75d6d.jpg"/><Relationship Id="rId49656aa8426c79eb4" Type="http://schemas.openxmlformats.org/officeDocument/2006/relationships/image" Target="media/imgrId49656aa8426c79eb4.jpg"/><Relationship Id="rId50086aa8426c7d4e5" Type="http://schemas.openxmlformats.org/officeDocument/2006/relationships/image" Target="media/imgrId50086aa8426c7d4e5.jpg"/><Relationship Id="rId42016aa8426c8083e" Type="http://schemas.openxmlformats.org/officeDocument/2006/relationships/image" Target="media/imgrId42016aa8426c8083e.jpg"/><Relationship Id="rId41266aa8426c8391f" Type="http://schemas.openxmlformats.org/officeDocument/2006/relationships/image" Target="media/imgrId41266aa8426c8391f.jpg"/><Relationship Id="rId33776aa8426c88dcc" Type="http://schemas.openxmlformats.org/officeDocument/2006/relationships/image" Target="media/imgrId33776aa8426c88dcc.jpg"/><Relationship Id="rId99396aa8426c8c70b" Type="http://schemas.openxmlformats.org/officeDocument/2006/relationships/image" Target="media/imgrId99396aa8426c8c70b.jpg"/><Relationship Id="rId73726aa8426c8f8c6" Type="http://schemas.openxmlformats.org/officeDocument/2006/relationships/image" Target="media/imgrId73726aa8426c8f8c6.jpg"/><Relationship Id="rId92496aa8426c943bb" Type="http://schemas.openxmlformats.org/officeDocument/2006/relationships/image" Target="media/imgrId92496aa8426c943bb.jpg"/><Relationship Id="rId13946aa8426c98312" Type="http://schemas.openxmlformats.org/officeDocument/2006/relationships/image" Target="media/imgrId13946aa8426c98312.jpg"/><Relationship Id="rId62776aa8426c9c981" Type="http://schemas.openxmlformats.org/officeDocument/2006/relationships/image" Target="media/imgrId62776aa8426c9c981.jpg"/><Relationship Id="rId86156aa8426ca3b7d" Type="http://schemas.openxmlformats.org/officeDocument/2006/relationships/image" Target="media/imgrId86156aa8426ca3b7d.jpg"/><Relationship Id="rId16156aa8426ca72ad" Type="http://schemas.openxmlformats.org/officeDocument/2006/relationships/image" Target="media/imgrId16156aa8426ca72ad.jpg"/><Relationship Id="rId90726aa8426cc3351" Type="http://schemas.openxmlformats.org/officeDocument/2006/relationships/image" Target="media/imgrId90726aa8426cc335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3700955" Type="http://schemas.openxmlformats.org/officeDocument/2006/relationships/image" Target="media/imgrId8370095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3700955" Type="http://schemas.openxmlformats.org/officeDocument/2006/relationships/image" Target="media/imgrId8370095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3700955" Type="http://schemas.openxmlformats.org/officeDocument/2006/relationships/image" Target="media/imgrId8370095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3700955" Type="http://schemas.openxmlformats.org/officeDocument/2006/relationships/image" Target="media/imgrId8370095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3700955" Type="http://schemas.openxmlformats.org/officeDocument/2006/relationships/image" Target="media/imgrId8370095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3700955" Type="http://schemas.openxmlformats.org/officeDocument/2006/relationships/image" Target="media/imgrId8370095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