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 KDI 2504TCR / KDI 2504TCRE5 (Rev_19.2)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43600096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5434659"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10640810" w:name="ctxt"/>
    <w:bookmarkEnd w:id="10640810"/>
    <w:p>
      <w:pPr>
        <w:widowControl w:val="on"/>
        <w:pBdr/>
        <w:spacing w:before="75" w:after="75" w:line="240" w:lineRule="auto"/>
        <w:ind w:left="75" w:right="75"/>
        <w:jc w:val="left"/>
        <w:textDirection w:val="lrTb"/>
      </w:pPr>
    </w:p>
    <w:p>
      <w:pPr>
        <w:pStyle w:val="Titolo1"/>
        <w:outlineLvl w:val="0"/>
      </w:pPr>
      <w:r>
        <w:rPr/>
        <w:t xml:space="preserve">总体信息</w:t>
      </w:r>
    </w:p>
    <w:p>
      <w:pPr>
        <w:widowControl w:val="on"/>
        <w:pBdr/>
        <w:spacing w:before="0" w:after="0" w:line="240" w:lineRule="auto"/>
        <w:ind w:left="0" w:right="0"/>
        <w:jc w:val="left"/>
        <w:textDirection w:val="lrTb"/>
      </w:pPr>
    </w:p>
    <w:p>
      <w:pPr>
        <w:pStyle w:val="Titolo2"/>
        <w:outlineLvl w:val="1"/>
      </w:pPr>
      <w:r>
        <w:rPr/>
        <w:t xml:space="preserve">维护保养手册用途</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13344"/>
              </w:numPr>
              <w:spacing w:before="0" w:after="0" w:line="262" w:lineRule="auto"/>
              <w:jc w:val="left"/>
              <w:rPr>
                <w:color w:val="00274C"/>
                <w:sz w:val="20"/>
                <w:szCs w:val="20"/>
              </w:rPr>
            </w:pPr>
            <w:r>
              <w:rPr>
                <w:color w:val="00274C"/>
                <w:position w:val="-2"/>
                <w:sz w:val="20"/>
                <w:szCs w:val="20"/>
                <w:u w:val="none"/>
              </w:rPr>
              <w:t xml:space="preserve">本手册所包含的发动机使用及维护操作说明必须严格执行，因此必须妥善保存以便将来需要的时候使用。</w:t>
            </w:r>
          </w:p>
          <w:p>
            <w:pPr>
              <w:numPr>
                <w:ilvl w:val="0"/>
                <w:numId w:val="13344"/>
              </w:numPr>
              <w:spacing w:before="0" w:after="0" w:line="262" w:lineRule="auto"/>
              <w:jc w:val="left"/>
              <w:rPr>
                <w:color w:val="00274C"/>
                <w:sz w:val="20"/>
                <w:szCs w:val="20"/>
              </w:rPr>
            </w:pPr>
            <w:r>
              <w:rPr>
                <w:color w:val="00274C"/>
                <w:position w:val="-2"/>
                <w:sz w:val="20"/>
                <w:szCs w:val="20"/>
                <w:u w:val="none"/>
              </w:rPr>
              <w:t xml:space="preserve">本手册是发动机的一部分，在销售和运输过程中本手册必须和发动机放一起。</w:t>
            </w:r>
          </w:p>
          <w:p>
            <w:pPr>
              <w:numPr>
                <w:ilvl w:val="0"/>
                <w:numId w:val="13344"/>
              </w:numPr>
              <w:spacing w:before="0" w:after="0" w:line="262" w:lineRule="auto"/>
              <w:jc w:val="left"/>
              <w:rPr>
                <w:color w:val="00274C"/>
                <w:sz w:val="20"/>
                <w:szCs w:val="20"/>
              </w:rPr>
            </w:pPr>
            <w:r>
              <w:rPr>
                <w:color w:val="00274C"/>
                <w:position w:val="-2"/>
                <w:sz w:val="20"/>
                <w:szCs w:val="20"/>
                <w:u w:val="none"/>
              </w:rPr>
              <w:t xml:space="preserve">客户有责任必须保证发动机上的安全标识在容易看见的地方并且当它们不容易识别的时候进行更换。</w:t>
            </w:r>
          </w:p>
          <w:p>
            <w:pPr>
              <w:numPr>
                <w:ilvl w:val="0"/>
                <w:numId w:val="13344"/>
              </w:numPr>
              <w:spacing w:before="0" w:after="0" w:line="262" w:lineRule="auto"/>
              <w:jc w:val="left"/>
              <w:rPr>
                <w:color w:val="00274C"/>
                <w:sz w:val="20"/>
                <w:szCs w:val="20"/>
              </w:rPr>
            </w:pPr>
            <w:r>
              <w:rPr>
                <w:color w:val="00274C"/>
                <w:position w:val="-2"/>
                <w:sz w:val="20"/>
                <w:szCs w:val="20"/>
                <w:u w:val="none"/>
              </w:rPr>
              <w:t xml:space="preserve">本手册中的信息，说明和图片反映的是当时市场销售的发动机的状态。</w:t>
            </w:r>
          </w:p>
          <w:p>
            <w:pPr>
              <w:numPr>
                <w:ilvl w:val="0"/>
                <w:numId w:val="13344"/>
              </w:numPr>
              <w:spacing w:before="0" w:after="0" w:line="262" w:lineRule="auto"/>
              <w:jc w:val="left"/>
              <w:rPr>
                <w:color w:val="00274C"/>
                <w:sz w:val="20"/>
                <w:szCs w:val="20"/>
              </w:rPr>
            </w:pPr>
            <w:r>
              <w:rPr>
                <w:color w:val="00274C"/>
                <w:position w:val="-2"/>
                <w:sz w:val="20"/>
                <w:szCs w:val="20"/>
                <w:u w:val="none"/>
              </w:rPr>
              <w:t xml:space="preserve">无论如何发动机改进是持续的，对于本手册信息的更改是无需通知和无责的。</w:t>
            </w:r>
          </w:p>
          <w:p>
            <w:pPr>
              <w:numPr>
                <w:ilvl w:val="0"/>
                <w:numId w:val="13344"/>
              </w:numPr>
              <w:spacing w:before="0" w:after="0" w:line="262" w:lineRule="auto"/>
              <w:jc w:val="left"/>
              <w:rPr>
                <w:color w:val="00274C"/>
                <w:sz w:val="20"/>
                <w:szCs w:val="20"/>
              </w:rPr>
            </w:pPr>
            <w:r>
              <w:rPr>
                <w:color w:val="00274C"/>
                <w:position w:val="-2"/>
                <w:sz w:val="20"/>
                <w:szCs w:val="20"/>
                <w:u w:val="none"/>
              </w:rPr>
              <w:t xml:space="preserve">任何时候科勒公司因为技术或商务原因有权对发动机做改动。</w:t>
            </w:r>
          </w:p>
          <w:p>
            <w:pPr>
              <w:numPr>
                <w:ilvl w:val="0"/>
                <w:numId w:val="13344"/>
              </w:numPr>
              <w:spacing w:before="0" w:after="0" w:line="262" w:lineRule="auto"/>
              <w:jc w:val="left"/>
              <w:rPr>
                <w:color w:val="00274C"/>
                <w:sz w:val="20"/>
                <w:szCs w:val="20"/>
              </w:rPr>
            </w:pPr>
            <w:r>
              <w:rPr>
                <w:color w:val="00274C"/>
                <w:position w:val="-2"/>
                <w:sz w:val="20"/>
                <w:szCs w:val="20"/>
                <w:u w:val="none"/>
              </w:rPr>
              <w:t xml:space="preserve">这些改变不要求科勒公司对市场上的发动机做相应改动并且不需要考虑本手册的不适宜。</w:t>
            </w:r>
          </w:p>
          <w:p>
            <w:pPr>
              <w:numPr>
                <w:ilvl w:val="0"/>
                <w:numId w:val="13344"/>
              </w:numPr>
              <w:spacing w:before="0" w:after="0" w:line="262" w:lineRule="auto"/>
              <w:jc w:val="left"/>
              <w:rPr>
                <w:color w:val="00274C"/>
                <w:sz w:val="20"/>
                <w:szCs w:val="20"/>
              </w:rPr>
            </w:pPr>
            <w:r>
              <w:rPr>
                <w:color w:val="00274C"/>
                <w:position w:val="-2"/>
                <w:sz w:val="20"/>
                <w:szCs w:val="20"/>
                <w:u w:val="none"/>
              </w:rPr>
              <w:t xml:space="preserve">在本手册发布后的科勒公司认为所需任何的附件将要和本手册一起并被视为本手册的一部分。</w:t>
            </w:r>
          </w:p>
          <w:p>
            <w:pPr>
              <w:numPr>
                <w:ilvl w:val="0"/>
                <w:numId w:val="13344"/>
              </w:numPr>
              <w:spacing w:before="0" w:after="0" w:line="262" w:lineRule="auto"/>
              <w:jc w:val="left"/>
              <w:rPr>
                <w:color w:val="00274C"/>
                <w:sz w:val="20"/>
                <w:szCs w:val="20"/>
              </w:rPr>
            </w:pPr>
            <w:r>
              <w:rPr>
                <w:color w:val="00274C"/>
                <w:position w:val="-2"/>
                <w:sz w:val="20"/>
                <w:szCs w:val="20"/>
                <w:u w:val="none"/>
              </w:rPr>
              <w:t xml:space="preserve">本手册包含的信息是科勒公司独有的财产。未经科勒公司书面允许不能全部或部分复制和印刷本手册。</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专业词汇和定义</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段落，表格和图片根据渐进的数字以章节划分的。</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例如:   段落. 2.3 - 章节2 段落 3.</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表格. 3.4 - 章节3 表格 4.</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图片. 5.5 - 章节5 图片 5.</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本手册中通过文字描述的对象，图片和数字总是和你正在阅读的段落相关，除非其它的图片和段落有特别指明。</w:t>
            </w:r>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注意: 所有的数据，测量和单位都在定义章节显示了。</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与排放相关的安装说明</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当在非道路设备上没有按照应用手册上说明安装已经认证过的发动机违反了联邦法律（40 CFR 1068.105(b)），将受到罚款或空气清洁法案中描述的其它惩罚。</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OEM厂家必须在柴油进口附近放置一个单独的写有以下语句的标签：“仅适用低硫份柴油”。</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确保为设备安装认证过的发动机。定转速的发动机仅可以被安装在定转速的设备上恒速运行。</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假如设备中的发动机的排放控制信息标签在正常维护中难以辨认，必须按照40 CFR 1068.105要求复制一个完全一样的标签放置在设备上。</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服务需求</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13344"/>
              </w:numPr>
              <w:spacing w:before="0" w:after="0" w:line="262" w:lineRule="auto"/>
              <w:jc w:val="left"/>
              <w:rPr>
                <w:color w:val="00274C"/>
                <w:sz w:val="20"/>
                <w:szCs w:val="20"/>
              </w:rPr>
            </w:pPr>
            <w:r>
              <w:rPr>
                <w:color w:val="00274C"/>
                <w:position w:val="-2"/>
                <w:sz w:val="20"/>
                <w:szCs w:val="20"/>
                <w:u w:val="none"/>
              </w:rPr>
              <w:t xml:space="preserve">完整的和最新的科勒公司授权服务代理商可以在我们的网站上找到： </w:t>
            </w:r>
            <w:hyperlink r:id="rId583661b860788e079" w:history="1">
              <w:r>
                <w:rPr>
                  <w:rStyle w:val="DefaultParagraphFontPHPDOCX"/>
                  <w:b/>
                  <w:bCs/>
                  <w:color w:val="0000FF"/>
                  <w:position w:val="-2"/>
                  <w:sz w:val="20"/>
                  <w:szCs w:val="20"/>
                  <w:u w:val="single" w:color=""/>
                </w:rPr>
                <w:t xml:space="preserve">www.kohlerengines.com</w:t>
              </w:r>
            </w:hyperlink>
            <w:r>
              <w:rPr>
                <w:b/>
                <w:bCs/>
                <w:color w:val="00274C"/>
                <w:position w:val="-2"/>
                <w:sz w:val="20"/>
                <w:szCs w:val="20"/>
                <w:u w:val="none"/>
              </w:rPr>
              <w:t xml:space="preserve"> &amp;</w:t>
            </w:r>
            <w:r>
              <w:rPr>
                <w:color w:val="00274C"/>
                <w:position w:val="-2"/>
                <w:sz w:val="20"/>
                <w:szCs w:val="20"/>
                <w:u w:val="none"/>
              </w:rPr>
              <w:t xml:space="preserve"> </w:t>
            </w:r>
            <w:hyperlink r:id="rId714861b860788e19a" w:history="1">
              <w:r>
                <w:rPr>
                  <w:rStyle w:val="DefaultParagraphFontPHPDOCX"/>
                  <w:b/>
                  <w:bCs/>
                  <w:color w:val="0000FF"/>
                  <w:position w:val="-2"/>
                  <w:sz w:val="20"/>
                  <w:szCs w:val="20"/>
                  <w:u w:val="none"/>
                </w:rPr>
                <w:t xml:space="preserve">dealers.kohlerpower.it</w:t>
              </w:r>
            </w:hyperlink>
          </w:p>
          <w:p>
            <w:pPr>
              <w:numPr>
                <w:ilvl w:val="0"/>
                <w:numId w:val="13344"/>
              </w:numPr>
              <w:spacing w:before="0" w:after="0" w:line="262" w:lineRule="auto"/>
              <w:jc w:val="left"/>
              <w:rPr>
                <w:color w:val="00274C"/>
                <w:sz w:val="20"/>
                <w:szCs w:val="20"/>
              </w:rPr>
            </w:pPr>
            <w:r>
              <w:rPr>
                <w:color w:val="00274C"/>
                <w:position w:val="-2"/>
                <w:sz w:val="20"/>
                <w:szCs w:val="20"/>
                <w:u w:val="none"/>
              </w:rPr>
              <w:t xml:space="preserve">如果有任何关于质保权利和责任的问题或者最近的科勒公司授权的服务代理商，请致电科勒公司 1-800-544-2444 或登入我们的网站 </w:t>
            </w:r>
            <w:hyperlink r:id="rId661961b860788e2cd"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(美国和北美洲)。</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发动机部件识别</w:t>
      </w:r>
    </w:p>
    <w:p>
      <w:pPr>
        <w:widowControl w:val="on"/>
        <w:pBdr/>
        <w:spacing w:before="225" w:after="225" w:line="262" w:lineRule="auto"/>
        <w:ind w:left="0" w:right="0"/>
        <w:jc w:val="left"/>
        <w:textDirection w:val="lrTb"/>
      </w:pPr>
      <w:r>
        <w:drawing>
          <wp:inline distT="0" distB="0" distL="0" distR="0">
            <wp:extent cx="4752000" cy="6516000"/>
            <wp:effectExtent b="0" l="0" r="0" t="0"/>
            <wp:docPr id="65685090" name="name862061b86078c4a40" descr="Identificazione_componenti_motore_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ZH.jpg"/>
                    <pic:cNvPicPr/>
                  </pic:nvPicPr>
                  <pic:blipFill>
                    <a:blip r:embed="rId621261b86078c4a39"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286"/>
              </w:rPr>
              <w:drawing>
                <wp:inline distT="0" distB="0" distL="0" distR="0">
                  <wp:extent cx="5544000" cy="3636000"/>
                  <wp:effectExtent b="0" l="0" r="0" t="0"/>
                  <wp:docPr id="15207159" name="name345661b86078e311a"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223761b86078e3113"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A: 涡轮增压器</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B: 涡轮机排气管</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注意:</w:t>
            </w:r>
            <w:r>
              <w:rPr>
                <w:color w:val="00274C"/>
                <w:position w:val="-2"/>
                <w:sz w:val="20"/>
                <w:szCs w:val="20"/>
                <w:u w:val="none"/>
              </w:rPr>
              <w:t xml:space="preserve">  ATS 系统仅存在于符合“Stage V”排放标准的版本中。ATS 系统可以采用不同于图示的安装方式。</w:t>
            </w:r>
          </w:p>
        </w:tc>
        <w:tc>
          <w:tcPr>
            <w:tcMar>
              <w:top w:w="150" w:type="dxa"/>
              <w:left w:w="150" w:type="dxa"/>
              <w:bottom w:w="150" w:type="dxa"/>
              <w:right w:w="150" w:type="dxa"/>
            </w:tcMar>
            <w:textDirection w:val="lrTb"/>
            <w:vAlign w:val="top"/>
          </w:tcPr>
          <w:p>
            <w:pPr>
              <w:numPr>
                <w:ilvl w:val="0"/>
                <w:numId w:val="13344"/>
              </w:numPr>
              <w:spacing w:before="0" w:after="0" w:line="262" w:lineRule="auto"/>
              <w:jc w:val="left"/>
              <w:rPr>
                <w:color w:val="00274C"/>
                <w:sz w:val="20"/>
                <w:szCs w:val="20"/>
              </w:rPr>
            </w:pPr>
            <w:r>
              <w:rPr>
                <w:color w:val="00274C"/>
                <w:position w:val="0"/>
                <w:sz w:val="20"/>
                <w:szCs w:val="20"/>
                <w:u w:val="none"/>
              </w:rPr>
              <w:t xml:space="preserve">由于 DPF 可以消除 柴油燃烧产生的微粒，因此 ATS 系统减少了排放量。系统会根据堵塞程度来 启动 DPF 的自动再生循环。从排气管线排出的尾气气味不同于 传统的柴油发动机的尾气气味，另外在再生阶段期间，排气可能暂时为白色。</w:t>
            </w:r>
          </w:p>
          <w:p>
            <w:pPr>
              <w:numPr>
                <w:ilvl w:val="0"/>
                <w:numId w:val="13344"/>
              </w:numPr>
              <w:spacing w:before="0" w:after="0" w:line="262" w:lineRule="auto"/>
              <w:jc w:val="left"/>
              <w:rPr>
                <w:color w:val="00274C"/>
                <w:sz w:val="20"/>
                <w:szCs w:val="20"/>
              </w:rPr>
            </w:pPr>
            <w:r>
              <w:rPr>
                <w:color w:val="00274C"/>
                <w:position w:val="0"/>
                <w:sz w:val="20"/>
                <w:szCs w:val="20"/>
                <w:u w:val="none"/>
              </w:rPr>
              <w:t xml:space="preserve">在强制再生阶段，发动机最低转速会 增加。</w:t>
            </w:r>
          </w:p>
          <w:p>
            <w:pPr>
              <w:numPr>
                <w:ilvl w:val="0"/>
                <w:numId w:val="13344"/>
              </w:numPr>
              <w:spacing w:before="0" w:after="0" w:line="262" w:lineRule="auto"/>
              <w:jc w:val="left"/>
              <w:rPr>
                <w:color w:val="00274C"/>
                <w:sz w:val="20"/>
                <w:szCs w:val="20"/>
              </w:rPr>
            </w:pPr>
            <w:r>
              <w:rPr>
                <w:color w:val="00274C"/>
                <w:position w:val="0"/>
                <w:sz w:val="20"/>
                <w:szCs w:val="20"/>
                <w:u w:val="none"/>
              </w:rPr>
              <w:t xml:space="preserve">关于 DPF 的再生策略，请参阅第 4.7 节。</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厂家和发动机认证信息</w:t>
      </w:r>
    </w:p>
    <w:p>
      <w:pPr>
        <w:widowControl w:val="on"/>
        <w:pBdr/>
        <w:spacing w:before="0" w:after="0" w:line="262" w:lineRule="auto"/>
        <w:ind w:left="0" w:right="0"/>
        <w:jc w:val="left"/>
        <w:textDirection w:val="lrTb"/>
      </w:pPr>
      <w:r>
        <w:rPr>
          <w:color w:val="00274C"/>
          <w:sz w:val="20"/>
          <w:szCs w:val="20"/>
          <w:u w:val="none"/>
        </w:rPr>
        <w:t xml:space="preserve">发动机认证铭牌在侧面A或侧面B。</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225" w:after="225" w:line="262" w:lineRule="auto"/>
        <w:ind w:left="0" w:right="0"/>
        <w:jc w:val="left"/>
        <w:textDirection w:val="lrTb"/>
      </w:pPr>
      <w:r>
        <w:drawing>
          <wp:inline distT="0" distB="0" distL="0" distR="0">
            <wp:extent cx="4744800" cy="3196800"/>
            <wp:effectExtent b="0" l="0" r="0" t="0"/>
            <wp:docPr id="62608469" name="name485361b860790923d"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663161b8607909237" cstate="print"/>
                    <a:stretch>
                      <a:fillRect/>
                    </a:stretch>
                  </pic:blipFill>
                  <pic:spPr>
                    <a:xfrm>
                      <a:off x="0" y="0"/>
                      <a:ext cx="4744800" cy="3196800"/>
                    </a:xfrm>
                    <a:prstGeom prst="rect">
                      <a:avLst/>
                    </a:prstGeom>
                    <a:ln w="0">
                      <a:noFill/>
                    </a:ln>
                  </pic:spPr>
                </pic:pic>
              </a:graphicData>
            </a:graphic>
          </wp:inline>
        </w:drawing>
      </w:r>
      <w:r>
        <w:rPr>
          <w:color w:val="00274C"/>
          <w:sz w:val="20"/>
          <w:szCs w:val="20"/>
          <w:u w:val="none"/>
        </w:rPr>
        <w:t xml:space="preserve"> </w:t>
      </w:r>
      <w:r>
        <w:drawing>
          <wp:inline distT="0" distB="0" distL="0" distR="0">
            <wp:extent cx="4694400" cy="1785600"/>
            <wp:effectExtent b="0" l="0" r="0" t="0"/>
            <wp:docPr id="4674363" name="name971761b8607922b47"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306861b8607922b3f" cstate="print"/>
                    <a:stretch>
                      <a:fillRect/>
                    </a:stretch>
                  </pic:blipFill>
                  <pic:spPr>
                    <a:xfrm>
                      <a:off x="0" y="0"/>
                      <a:ext cx="4694400" cy="17856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认证标签</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EPA排放标签 </w:t>
            </w:r>
            <w:r>
              <w:rPr>
                <w:color w:val="00274C"/>
                <w:position w:val="-2"/>
                <w:sz w:val="20"/>
                <w:szCs w:val="20"/>
                <w:u w:val="none"/>
              </w:rPr>
              <w:t xml:space="preserve"> </w:t>
            </w:r>
            <w:r>
              <w:rPr>
                <w:b/>
                <w:bCs/>
                <w:color w:val="00274C"/>
                <w:position w:val="-2"/>
                <w:sz w:val="20"/>
                <w:szCs w:val="20"/>
                <w:u w:val="none"/>
              </w:rPr>
              <w:t xml:space="preserve">(填写示例)</w:t>
            </w:r>
          </w:p>
          <w:p/>
          <w:p/>
          <w:p>
            <w:pPr>
              <w:widowControl w:val="on"/>
              <w:pBdr/>
              <w:spacing w:before="0" w:after="0" w:line="262" w:lineRule="auto"/>
              <w:ind w:left="0" w:right="0"/>
              <w:jc w:val="left"/>
              <w:textDirection w:val="lrTb"/>
              <w:textAlignment w:val="center"/>
            </w:pPr>
            <w:r>
              <w:rPr>
                <w:position w:val="-346"/>
              </w:rPr>
              <w:drawing>
                <wp:inline distT="0" distB="0" distL="0" distR="0">
                  <wp:extent cx="4752000" cy="4370400"/>
                  <wp:effectExtent b="0" l="0" r="0" t="0"/>
                  <wp:docPr id="10741246" name="name492561b86079444bb"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354061b86079444b5"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表.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位置</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描述</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符合规则的年限</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功率等级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发动机排量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排放颗粒物限值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发动机系族号</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排放控制系统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低硫份的柴油</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喷油定时 (*BTDC)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喷油器开启压力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生产日期 (例如: 2013.一月)</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中国标准标签 </w:t>
            </w:r>
            <w:r>
              <w:rPr>
                <w:color w:val="00274C"/>
                <w:position w:val="-2"/>
                <w:sz w:val="20"/>
                <w:szCs w:val="20"/>
                <w:u w:val="none"/>
              </w:rPr>
              <w:t xml:space="preserve"> </w:t>
            </w:r>
            <w:r>
              <w:rPr>
                <w:b/>
                <w:bCs/>
                <w:color w:val="00274C"/>
                <w:position w:val="-2"/>
                <w:sz w:val="20"/>
                <w:szCs w:val="20"/>
                <w:u w:val="none"/>
              </w:rPr>
              <w:t xml:space="preserve">(填写示例)</w:t>
            </w:r>
          </w:p>
          <w:p/>
          <w:p/>
          <w:p>
            <w:pPr>
              <w:widowControl w:val="on"/>
              <w:pBdr/>
              <w:spacing w:before="0" w:after="0" w:line="262" w:lineRule="auto"/>
              <w:ind w:left="0" w:right="0"/>
              <w:jc w:val="left"/>
              <w:textDirection w:val="lrTb"/>
              <w:textAlignment w:val="center"/>
            </w:pPr>
            <w:r>
              <w:rPr>
                <w:position w:val="-347"/>
              </w:rPr>
              <w:drawing>
                <wp:inline distT="0" distB="0" distL="0" distR="0">
                  <wp:extent cx="4752000" cy="4384800"/>
                  <wp:effectExtent b="0" l="0" r="0" t="0"/>
                  <wp:docPr id="80582386" name="name796761b8607962102"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561061b86079620fa"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表.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位置</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描述</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生产商</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电机型号</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生产日期</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中国排放认证编号</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功率范围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排放等级</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功率</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后处理系统</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韩国标准标签 </w:t>
            </w:r>
            <w:r>
              <w:rPr>
                <w:color w:val="00274C"/>
                <w:position w:val="-2"/>
                <w:sz w:val="20"/>
                <w:szCs w:val="20"/>
                <w:u w:val="none"/>
              </w:rPr>
              <w:t xml:space="preserve"> </w:t>
            </w:r>
            <w:r>
              <w:rPr>
                <w:b/>
                <w:bCs/>
                <w:color w:val="00274C"/>
                <w:position w:val="-2"/>
                <w:sz w:val="20"/>
                <w:szCs w:val="20"/>
                <w:u w:val="none"/>
              </w:rPr>
              <w:t xml:space="preserve">(填写示例)</w:t>
            </w:r>
          </w:p>
          <w:p/>
          <w:p/>
          <w:p>
            <w:pPr>
              <w:widowControl w:val="on"/>
              <w:pBdr/>
              <w:spacing w:before="0" w:after="0" w:line="262" w:lineRule="auto"/>
              <w:ind w:left="0" w:right="0"/>
              <w:jc w:val="left"/>
              <w:textDirection w:val="lrTb"/>
              <w:textAlignment w:val="center"/>
            </w:pPr>
            <w:r>
              <w:rPr>
                <w:position w:val="-318"/>
              </w:rPr>
              <w:drawing>
                <wp:inline distT="0" distB="0" distL="0" distR="0">
                  <wp:extent cx="4752000" cy="4024800"/>
                  <wp:effectExtent b="0" l="0" r="0" t="0"/>
                  <wp:docPr id="58688586" name="name191961b8607983ec7"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615261b8607983ebf"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表.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位置</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描述</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电机型号</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生产日期和制造商代码</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韩国排放认证编号</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3345">
    <w:multiLevelType w:val="hybridMultilevel"/>
    <w:lvl w:ilvl="0" w:tplc="70439035">
      <w:start w:val="1"/>
      <w:numFmt w:val="decimal"/>
      <w:lvlText w:val="%1."/>
      <w:lvlJc w:val="left"/>
      <w:pPr>
        <w:ind w:left="720" w:hanging="360"/>
      </w:pPr>
    </w:lvl>
    <w:lvl w:ilvl="1" w:tplc="70439035" w:tentative="1">
      <w:start w:val="1"/>
      <w:numFmt w:val="lowerLetter"/>
      <w:lvlText w:val="%2."/>
      <w:lvlJc w:val="left"/>
      <w:pPr>
        <w:ind w:left="1440" w:hanging="360"/>
      </w:pPr>
    </w:lvl>
    <w:lvl w:ilvl="2" w:tplc="70439035" w:tentative="1">
      <w:start w:val="1"/>
      <w:numFmt w:val="lowerRoman"/>
      <w:lvlText w:val="%3."/>
      <w:lvlJc w:val="right"/>
      <w:pPr>
        <w:ind w:left="2160" w:hanging="180"/>
      </w:pPr>
    </w:lvl>
    <w:lvl w:ilvl="3" w:tplc="70439035" w:tentative="1">
      <w:start w:val="1"/>
      <w:numFmt w:val="decimal"/>
      <w:lvlText w:val="%4."/>
      <w:lvlJc w:val="left"/>
      <w:pPr>
        <w:ind w:left="2880" w:hanging="360"/>
      </w:pPr>
    </w:lvl>
    <w:lvl w:ilvl="4" w:tplc="70439035" w:tentative="1">
      <w:start w:val="1"/>
      <w:numFmt w:val="lowerLetter"/>
      <w:lvlText w:val="%5."/>
      <w:lvlJc w:val="left"/>
      <w:pPr>
        <w:ind w:left="3600" w:hanging="360"/>
      </w:pPr>
    </w:lvl>
    <w:lvl w:ilvl="5" w:tplc="70439035" w:tentative="1">
      <w:start w:val="1"/>
      <w:numFmt w:val="lowerRoman"/>
      <w:lvlText w:val="%6."/>
      <w:lvlJc w:val="right"/>
      <w:pPr>
        <w:ind w:left="4320" w:hanging="180"/>
      </w:pPr>
    </w:lvl>
    <w:lvl w:ilvl="6" w:tplc="70439035" w:tentative="1">
      <w:start w:val="1"/>
      <w:numFmt w:val="decimal"/>
      <w:lvlText w:val="%7."/>
      <w:lvlJc w:val="left"/>
      <w:pPr>
        <w:ind w:left="5040" w:hanging="360"/>
      </w:pPr>
    </w:lvl>
    <w:lvl w:ilvl="7" w:tplc="70439035" w:tentative="1">
      <w:start w:val="1"/>
      <w:numFmt w:val="lowerLetter"/>
      <w:lvlText w:val="%8."/>
      <w:lvlJc w:val="left"/>
      <w:pPr>
        <w:ind w:left="5760" w:hanging="360"/>
      </w:pPr>
    </w:lvl>
    <w:lvl w:ilvl="8" w:tplc="70439035" w:tentative="1">
      <w:start w:val="1"/>
      <w:numFmt w:val="lowerRoman"/>
      <w:lvlText w:val="%9."/>
      <w:lvlJc w:val="right"/>
      <w:pPr>
        <w:ind w:left="6480" w:hanging="180"/>
      </w:pPr>
    </w:lvl>
  </w:abstractNum>
  <w:abstractNum w:abstractNumId="13344">
    <w:multiLevelType w:val="hybridMultilevel"/>
    <w:lvl w:ilvl="0" w:tplc="2909616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3344">
    <w:abstractNumId w:val="13344"/>
  </w:num>
  <w:num w:numId="13345">
    <w:abstractNumId w:val="133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44176385" Type="http://schemas.openxmlformats.org/officeDocument/2006/relationships/comments" Target="comments.xml"/><Relationship Id="rId917313696" Type="http://schemas.microsoft.com/office/2011/relationships/commentsExtended" Target="commentsExtended.xml"/><Relationship Id="rId25434659" Type="http://schemas.openxmlformats.org/officeDocument/2006/relationships/image" Target="media/imgrId25434659.jpg"/><Relationship Id="rId583661b860788e079" Type="http://schemas.openxmlformats.org/officeDocument/2006/relationships/hyperlink" Target="http://www.kohlerengines.com/home.htm" TargetMode="External"/><Relationship Id="rId714861b860788e19a" Type="http://schemas.openxmlformats.org/officeDocument/2006/relationships/hyperlink" Target="http://dealers.kohlerpower.it/" TargetMode="External"/><Relationship Id="rId661961b860788e2cd" Type="http://schemas.openxmlformats.org/officeDocument/2006/relationships/hyperlink" Target="http://www.kohlerengines.com/home.htm" TargetMode="External"/><Relationship Id="rId621261b86078c4a39" Type="http://schemas.openxmlformats.org/officeDocument/2006/relationships/image" Target="media/imgrId621261b86078c4a39.jpg"/><Relationship Id="rId223761b86078e3113" Type="http://schemas.openxmlformats.org/officeDocument/2006/relationships/image" Target="media/imgrId223761b86078e3113.jpg"/><Relationship Id="rId663161b8607909237" Type="http://schemas.openxmlformats.org/officeDocument/2006/relationships/image" Target="media/imgrId663161b8607909237.jpg"/><Relationship Id="rId306861b8607922b3f" Type="http://schemas.openxmlformats.org/officeDocument/2006/relationships/image" Target="media/imgrId306861b8607922b3f.jpg"/><Relationship Id="rId354061b86079444b5" Type="http://schemas.openxmlformats.org/officeDocument/2006/relationships/image" Target="media/imgrId354061b86079444b5.jpg"/><Relationship Id="rId561061b86079620fa" Type="http://schemas.openxmlformats.org/officeDocument/2006/relationships/image" Target="media/imgrId561061b86079620fa.jpg"/><Relationship Id="rId615261b8607983ebf" Type="http://schemas.openxmlformats.org/officeDocument/2006/relationships/image" Target="media/imgrId615261b8607983ebf.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5434659" Type="http://schemas.openxmlformats.org/officeDocument/2006/relationships/image" Target="media/imgrId2543465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5434659" Type="http://schemas.openxmlformats.org/officeDocument/2006/relationships/image" Target="media/imgrId2543465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5434659" Type="http://schemas.openxmlformats.org/officeDocument/2006/relationships/image" Target="media/imgrId2543465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5434659" Type="http://schemas.openxmlformats.org/officeDocument/2006/relationships/image" Target="media/imgrId2543465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5434659" Type="http://schemas.openxmlformats.org/officeDocument/2006/relationships/image" Target="media/imgrId2543465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5434659" Type="http://schemas.openxmlformats.org/officeDocument/2006/relationships/image" Target="media/imgrId2543465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