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170071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24306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8515446" w:name="ctxt"/>
    <w:bookmarkEnd w:id="38515446"/>
    <w:p>
      <w:pPr>
        <w:widowControl w:val="on"/>
        <w:pBdr/>
        <w:spacing w:before="75" w:after="75" w:line="240" w:lineRule="auto"/>
        <w:ind w:left="75" w:right="75"/>
        <w:jc w:val="left"/>
        <w:textDirection w:val="lrTb"/>
      </w:pPr>
    </w:p>
    <w:p>
      <w:pPr>
        <w:pStyle w:val="Titolo1"/>
        <w:outlineLvl w:val="0"/>
      </w:pPr>
      <w:r>
        <w:rPr/>
        <w:t xml:space="preserve">技术资料</w:t>
      </w:r>
    </w:p>
    <w:p>
      <w:pPr>
        <w:widowControl w:val="on"/>
        <w:pBdr/>
        <w:spacing w:before="0" w:after="0" w:line="240" w:lineRule="auto"/>
        <w:ind w:left="0" w:right="0"/>
        <w:jc w:val="left"/>
        <w:textDirection w:val="lrTb"/>
      </w:pPr>
    </w:p>
    <w:p>
      <w:pPr>
        <w:pStyle w:val="Titolo2"/>
        <w:outlineLvl w:val="1"/>
      </w:pPr>
      <w:r>
        <w:rPr/>
        <w:t xml:space="preserve">发动机的总体描述</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四冲程，直列式气缸-柴油-发动机； - 液冷系统；</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带液压挺柱，每缸四气门；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涡轮增压带废气阀；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共轨-直喷。</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发动机技术规格</w:t>
      </w:r>
    </w:p>
    <w:p>
      <w:pPr>
        <w:widowControl w:val="on"/>
        <w:pBdr/>
        <w:spacing w:before="0" w:after="0" w:line="262" w:lineRule="auto"/>
        <w:ind w:left="0" w:right="0"/>
        <w:jc w:val="left"/>
        <w:textDirection w:val="lrTb"/>
      </w:pPr>
      <w:r>
        <w:rPr>
          <w:b/>
          <w:bCs/>
          <w:color w:val="00274C"/>
          <w:sz w:val="20"/>
          <w:szCs w:val="20"/>
          <w:u w:val="none"/>
        </w:rPr>
        <w:t xml:space="preserve">表.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技术参数</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测量单位</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79791950" name="name240961b86874238e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74561b86874238dd" cstate="print"/>
                          <a:stretch>
                            <a:fillRect/>
                          </a:stretch>
                        </pic:blipFill>
                        <pic:spPr>
                          <a:xfrm>
                            <a:off x="0" y="0"/>
                            <a:ext cx="10080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18707457" name="name449961b8687472120"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57961b868747211a"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发动机型号</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气缸数</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缸径</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冲程</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排量</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发动机运行最大倾角</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最大 30 分钟</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最大 1 分钟</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机油容量 (机油尺最大刻度) 包括机油滤清器</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标准</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平衡装置</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干重</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发动机外形尺寸 (mm)</w:t>
      </w:r>
    </w:p>
    <w:p>
      <w:pPr>
        <w:widowControl w:val="on"/>
        <w:pBdr/>
        <w:spacing w:before="225" w:after="225" w:line="262" w:lineRule="auto"/>
        <w:ind w:left="0" w:right="0"/>
        <w:jc w:val="left"/>
        <w:textDirection w:val="lrTb"/>
      </w:pPr>
      <w:r>
        <w:drawing>
          <wp:inline distT="0" distB="0" distL="0" distR="0">
            <wp:extent cx="4752000" cy="2844000"/>
            <wp:effectExtent b="0" l="0" r="0" t="0"/>
            <wp:docPr id="82803216" name="name730261b868748d43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14361b868748d42c"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机油</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71209" name="name751561b868749cc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2661b868749cc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5446"/>
        </w:numPr>
        <w:spacing w:before="0" w:after="0" w:line="240" w:lineRule="auto"/>
        <w:jc w:val="left"/>
        <w:rPr>
          <w:color w:val="00274C"/>
          <w:sz w:val="20"/>
          <w:szCs w:val="20"/>
        </w:rPr>
      </w:pPr>
      <w:r>
        <w:rPr>
          <w:color w:val="00274C"/>
          <w:sz w:val="20"/>
          <w:szCs w:val="20"/>
          <w:u w:val="none"/>
        </w:rPr>
        <w:t xml:space="preserve">发动机运行在不正确的机油液位，会导致发动机损坏。</w:t>
      </w:r>
    </w:p>
    <w:p>
      <w:pPr>
        <w:numPr>
          <w:ilvl w:val="0"/>
          <w:numId w:val="15446"/>
        </w:numPr>
        <w:spacing w:before="0" w:after="0" w:line="240" w:lineRule="auto"/>
        <w:jc w:val="left"/>
        <w:rPr>
          <w:color w:val="00274C"/>
          <w:sz w:val="20"/>
          <w:szCs w:val="20"/>
        </w:rPr>
      </w:pPr>
      <w:r>
        <w:rPr>
          <w:color w:val="00274C"/>
          <w:sz w:val="20"/>
          <w:szCs w:val="20"/>
          <w:u w:val="none"/>
        </w:rPr>
        <w:t xml:space="preserve">加注机油不要超过最高液位，这样会使得烧机油从而导致发动机突然超速。</w:t>
      </w:r>
    </w:p>
    <w:p>
      <w:pPr>
        <w:numPr>
          <w:ilvl w:val="0"/>
          <w:numId w:val="15446"/>
        </w:numPr>
        <w:spacing w:before="0" w:after="0" w:line="240" w:lineRule="auto"/>
        <w:jc w:val="left"/>
        <w:rPr>
          <w:color w:val="00274C"/>
          <w:sz w:val="20"/>
          <w:szCs w:val="20"/>
        </w:rPr>
      </w:pPr>
      <w:r>
        <w:rPr>
          <w:color w:val="00274C"/>
          <w:sz w:val="20"/>
          <w:szCs w:val="20"/>
          <w:u w:val="none"/>
        </w:rPr>
        <w:t xml:space="preserve">使用推荐标号的机油会更有效保护发动机和保证发动机的使用寿命。</w:t>
      </w:r>
    </w:p>
    <w:p>
      <w:pPr>
        <w:numPr>
          <w:ilvl w:val="0"/>
          <w:numId w:val="15446"/>
        </w:numPr>
        <w:spacing w:before="0" w:after="0" w:line="240" w:lineRule="auto"/>
        <w:jc w:val="left"/>
        <w:rPr>
          <w:color w:val="00274C"/>
          <w:sz w:val="20"/>
          <w:szCs w:val="20"/>
        </w:rPr>
      </w:pPr>
      <w:r>
        <w:rPr>
          <w:color w:val="00274C"/>
          <w:sz w:val="20"/>
          <w:szCs w:val="20"/>
          <w:u w:val="none"/>
        </w:rPr>
        <w:t xml:space="preserve">使用推荐标号以外的机油会缩短发动机的使用寿命。</w:t>
      </w:r>
    </w:p>
    <w:p>
      <w:pPr>
        <w:numPr>
          <w:ilvl w:val="0"/>
          <w:numId w:val="15446"/>
        </w:numPr>
        <w:spacing w:before="0" w:after="0" w:line="240" w:lineRule="auto"/>
        <w:jc w:val="left"/>
        <w:rPr>
          <w:color w:val="00274C"/>
          <w:sz w:val="20"/>
          <w:szCs w:val="20"/>
        </w:rPr>
      </w:pPr>
      <w:r>
        <w:rPr>
          <w:color w:val="00274C"/>
          <w:sz w:val="20"/>
          <w:szCs w:val="20"/>
          <w:u w:val="none"/>
        </w:rPr>
        <w:t xml:space="preserve">粘度必须根据发动机所在的环境温度决定。</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35441" name="name839061b86874ac3f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1461b86874ac3f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危险</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446"/>
        </w:numPr>
        <w:spacing w:before="0" w:after="0" w:line="240" w:lineRule="auto"/>
        <w:jc w:val="left"/>
        <w:rPr>
          <w:color w:val="00274C"/>
          <w:sz w:val="20"/>
          <w:szCs w:val="20"/>
        </w:rPr>
      </w:pPr>
      <w:r>
        <w:rPr>
          <w:color w:val="00274C"/>
          <w:sz w:val="20"/>
          <w:szCs w:val="20"/>
          <w:u w:val="none"/>
        </w:rPr>
        <w:t xml:space="preserve">皮肤长期接触发动机的废机油会导致皮肤癌。</w:t>
      </w:r>
    </w:p>
    <w:p>
      <w:pPr>
        <w:numPr>
          <w:ilvl w:val="0"/>
          <w:numId w:val="15446"/>
        </w:numPr>
        <w:spacing w:before="0" w:after="0" w:line="240" w:lineRule="auto"/>
        <w:jc w:val="left"/>
        <w:rPr>
          <w:color w:val="00274C"/>
          <w:sz w:val="20"/>
          <w:szCs w:val="20"/>
        </w:rPr>
      </w:pPr>
      <w:r>
        <w:rPr>
          <w:color w:val="00274C"/>
          <w:sz w:val="20"/>
          <w:szCs w:val="20"/>
          <w:u w:val="none"/>
        </w:rPr>
        <w:t xml:space="preserve">如果不能避免的接触机油，请尽快用肥皂和水仔细清洗你的双手。</w:t>
      </w:r>
    </w:p>
    <w:p>
      <w:pPr>
        <w:numPr>
          <w:ilvl w:val="0"/>
          <w:numId w:val="15446"/>
        </w:numPr>
        <w:spacing w:before="0" w:after="0" w:line="240" w:lineRule="auto"/>
        <w:jc w:val="left"/>
        <w:rPr>
          <w:color w:val="00274C"/>
          <w:sz w:val="20"/>
          <w:szCs w:val="20"/>
        </w:rPr>
      </w:pPr>
      <w:r>
        <w:rPr>
          <w:color w:val="00274C"/>
          <w:sz w:val="20"/>
          <w:szCs w:val="20"/>
          <w:u w:val="none"/>
        </w:rPr>
        <w:t xml:space="preserve">废机油的排放请参照 第 废弃物和报废处理.</w:t>
      </w:r>
    </w:p>
    <w:p>
      <w:pPr>
        <w:widowControl w:val="on"/>
        <w:pBdr/>
        <w:spacing w:before="0" w:after="0" w:line="262" w:lineRule="auto"/>
        <w:ind w:left="0" w:right="0"/>
        <w:jc w:val="left"/>
        <w:textDirection w:val="lrTb"/>
      </w:pPr>
      <w:r>
        <w:rPr>
          <w:b/>
          <w:bCs/>
          <w:color w:val="00274C"/>
          <w:sz w:val="20"/>
          <w:szCs w:val="20"/>
          <w:u w:val="none"/>
        </w:rPr>
        <w:br/>
        <w:br/>
        <w:t xml:space="preserve">2.4.1 SAE 机油等级</w:t>
      </w:r>
    </w:p>
    <w:p>
      <w:pPr>
        <w:numPr>
          <w:ilvl w:val="0"/>
          <w:numId w:val="15446"/>
        </w:numPr>
        <w:spacing w:before="0" w:after="0" w:line="240" w:lineRule="auto"/>
        <w:jc w:val="left"/>
        <w:rPr>
          <w:color w:val="00274C"/>
          <w:sz w:val="20"/>
          <w:szCs w:val="20"/>
        </w:rPr>
      </w:pPr>
      <w:r>
        <w:rPr>
          <w:color w:val="00274C"/>
          <w:sz w:val="20"/>
          <w:szCs w:val="20"/>
          <w:u w:val="none"/>
        </w:rPr>
        <w:t xml:space="preserve">在SAE机油分级中，机油是按照粘度来分级的，不考虑机油其他的性能特性。</w:t>
      </w:r>
    </w:p>
    <w:p>
      <w:pPr>
        <w:numPr>
          <w:ilvl w:val="0"/>
          <w:numId w:val="15446"/>
        </w:numPr>
        <w:spacing w:before="0" w:after="0" w:line="240" w:lineRule="auto"/>
        <w:jc w:val="left"/>
        <w:rPr>
          <w:color w:val="00274C"/>
          <w:sz w:val="20"/>
          <w:szCs w:val="20"/>
        </w:rPr>
      </w:pPr>
      <w:r>
        <w:rPr>
          <w:color w:val="00274C"/>
          <w:sz w:val="20"/>
          <w:szCs w:val="20"/>
          <w:u w:val="none"/>
        </w:rPr>
        <w:t xml:space="preserve">代码由两组数字组成。第一组数字是表示冬季低温粘度（W=冬天），第二组数字表示高温粘度。</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推荐机油</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以及</w:t>
            </w:r>
            <w:r>
              <w:rPr>
                <w:b/>
                <w:bCs/>
                <w:color w:val="FFFFFF"/>
                <w:position w:val="-2"/>
                <w:sz w:val="20"/>
                <w:szCs w:val="20"/>
                <w:u w:val="none"/>
                <w:shd w:val="clear" w:color="auto" w:fill="1985FF"/>
              </w:rPr>
              <w:br/>
              <w:t xml:space="preserve">规格</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粘度</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r>
    </w:tbl>
    <w:p>
      <w:pPr>
        <w:numPr>
          <w:ilvl w:val="0"/>
          <w:numId w:val="15446"/>
        </w:numPr>
        <w:spacing w:before="0" w:after="0" w:line="240" w:lineRule="auto"/>
        <w:jc w:val="left"/>
        <w:rPr>
          <w:color w:val="00274C"/>
          <w:sz w:val="20"/>
          <w:szCs w:val="20"/>
        </w:rPr>
      </w:pPr>
      <w:r>
        <w:rPr>
          <w:color w:val="00274C"/>
          <w:sz w:val="20"/>
          <w:szCs w:val="20"/>
          <w:u w:val="none"/>
        </w:rPr>
        <w:t xml:space="preserve">低S.A.P.S.技术（低硫酸盐灰分、磷、含硫量的机油）可在良好的工作环境中保持催化剂。随着时间的推移，硫酸盐灰分、磷和硫的存在可导致催化堵塞以及由此引发的效率低下。</w:t>
      </w:r>
    </w:p>
    <w:p>
      <w:pPr>
        <w:numPr>
          <w:ilvl w:val="0"/>
          <w:numId w:val="15446"/>
        </w:numPr>
        <w:spacing w:before="0" w:after="0" w:line="240" w:lineRule="auto"/>
        <w:jc w:val="left"/>
        <w:rPr>
          <w:color w:val="00274C"/>
          <w:sz w:val="20"/>
          <w:szCs w:val="20"/>
        </w:rPr>
      </w:pPr>
      <w:r>
        <w:rPr>
          <w:color w:val="00274C"/>
          <w:sz w:val="20"/>
          <w:szCs w:val="20"/>
          <w:u w:val="none"/>
        </w:rPr>
        <w:t xml:space="preserve">对于中度 S.A.P.S 的燃油序列，硫酸盐灰分含量与 API CJ-4 ≤ 1.0% 相同，但是按照 ACEA 标准，此类燃油被引用为中度 SAPS。</w:t>
      </w:r>
    </w:p>
    <w:p>
      <w:pPr>
        <w:numPr>
          <w:ilvl w:val="0"/>
          <w:numId w:val="15446"/>
        </w:numPr>
        <w:spacing w:before="0" w:after="0" w:line="240" w:lineRule="auto"/>
        <w:jc w:val="left"/>
        <w:rPr>
          <w:color w:val="00274C"/>
          <w:sz w:val="20"/>
          <w:szCs w:val="20"/>
        </w:rPr>
      </w:pPr>
      <w:r>
        <w:rPr>
          <w:color w:val="00274C"/>
          <w:sz w:val="20"/>
          <w:szCs w:val="20"/>
          <w:u w:val="none"/>
        </w:rPr>
        <w:t xml:space="preserve">燃油的过滤对于正确操作和润滑而言至关重要；应按照本手册的要求定期更换过滤器。</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 -</w:t>
      </w:r>
      <w:r>
        <w:rPr>
          <w:b/>
          <w:bCs/>
          <w:color w:val="00274C"/>
          <w:sz w:val="20"/>
          <w:szCs w:val="20"/>
          <w:u w:val="none"/>
        </w:rPr>
        <w:t xml:space="preserve"> 注意</w:t>
      </w:r>
      <w:r>
        <w:rPr>
          <w:color w:val="00274C"/>
          <w:sz w:val="20"/>
          <w:szCs w:val="20"/>
          <w:u w:val="none"/>
        </w:rPr>
        <w:t xml:space="preserve"> : 请勿使用含硫量高于 15ppm 的燃料。</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在所有符合 Stage-V 排放标准的发动机（配备 DPF 设备的发动机）上，所使用的机油必须符合 API CJ-4 Low S.A.P.S 或 ACEA E6 Low S.A.P.S 标准。</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注意</w:t>
      </w:r>
      <w:r>
        <w:rPr>
          <w:color w:val="00274C"/>
          <w:sz w:val="20"/>
          <w:szCs w:val="20"/>
          <w:u w:val="none"/>
        </w:rPr>
        <w:t xml:space="preserve"> : 请勿使用含硫量高于 500ppm 的燃料。</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注意</w:t>
      </w:r>
      <w:r>
        <w:rPr>
          <w:color w:val="00274C"/>
          <w:sz w:val="20"/>
          <w:szCs w:val="20"/>
          <w:u w:val="none"/>
        </w:rPr>
        <w:t xml:space="preserve"> : 硫酸盐灰分低于 1% 的低 S.A.P.S. 燃油无法使用含硫量高于 50ppm 的燃料。</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柴油</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91196" name="name419761b86874bfd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661b86874bfda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重要信息</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446"/>
        </w:numPr>
        <w:spacing w:before="0" w:after="0" w:line="240" w:lineRule="auto"/>
        <w:jc w:val="left"/>
        <w:rPr>
          <w:color w:val="00274C"/>
          <w:sz w:val="20"/>
          <w:szCs w:val="20"/>
        </w:rPr>
      </w:pPr>
      <w:r>
        <w:rPr>
          <w:color w:val="00274C"/>
          <w:sz w:val="20"/>
          <w:szCs w:val="20"/>
          <w:u w:val="none"/>
        </w:rPr>
        <w:t xml:space="preserve">用其他类型的燃料可能会损坏发动机。请勿使用脏污柴油燃料或柴油燃料与水的混合物，因为这样会导致严重的发动机故障。</w:t>
      </w:r>
    </w:p>
    <w:p>
      <w:pPr>
        <w:numPr>
          <w:ilvl w:val="0"/>
          <w:numId w:val="15446"/>
        </w:numPr>
        <w:spacing w:before="0" w:after="0" w:line="240" w:lineRule="auto"/>
        <w:jc w:val="left"/>
        <w:rPr>
          <w:color w:val="00274C"/>
          <w:sz w:val="20"/>
          <w:szCs w:val="20"/>
        </w:rPr>
      </w:pPr>
      <w:r>
        <w:rPr>
          <w:b/>
          <w:bCs/>
          <w:color w:val="00274C"/>
          <w:sz w:val="20"/>
          <w:szCs w:val="20"/>
          <w:u w:val="none"/>
        </w:rPr>
        <w:t xml:space="preserve">使用推荐以外的其他燃料所导致的任何故障均无法获得保修。</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04212" name="name843961b86874d27b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6061b86874d27b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警告</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446"/>
        </w:numPr>
        <w:spacing w:before="0" w:after="0" w:line="240" w:lineRule="auto"/>
        <w:jc w:val="left"/>
        <w:rPr>
          <w:color w:val="00274C"/>
          <w:sz w:val="20"/>
          <w:szCs w:val="20"/>
        </w:rPr>
      </w:pPr>
      <w:r>
        <w:rPr>
          <w:color w:val="00274C"/>
          <w:sz w:val="20"/>
          <w:szCs w:val="20"/>
          <w:u w:val="none"/>
        </w:rPr>
        <w:t xml:space="preserve">清洁燃料可防止燃料喷射器堵塞。补给燃料时应及时清理任何溢出物。</w:t>
      </w:r>
    </w:p>
    <w:p>
      <w:pPr>
        <w:numPr>
          <w:ilvl w:val="0"/>
          <w:numId w:val="15446"/>
        </w:numPr>
        <w:spacing w:before="0" w:after="0" w:line="240" w:lineRule="auto"/>
        <w:jc w:val="left"/>
        <w:rPr>
          <w:color w:val="00274C"/>
          <w:sz w:val="20"/>
          <w:szCs w:val="20"/>
        </w:rPr>
      </w:pPr>
      <w:r>
        <w:rPr>
          <w:color w:val="00274C"/>
          <w:sz w:val="20"/>
          <w:szCs w:val="20"/>
          <w:u w:val="none"/>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燃油适应性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590（生物柴油含量最高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F-54，符合 EN 590 的柴油燃料等价物</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或 ASTM D 975 Grade 1, 2 -D S15 Arctic 柴油</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注意</w:t>
      </w:r>
      <w:r>
        <w:rPr>
          <w:color w:val="00274C"/>
          <w:sz w:val="20"/>
          <w:szCs w:val="20"/>
          <w:u w:val="none"/>
        </w:rPr>
        <w:t xml:space="preserve"> ： 保修时，客户必须出具燃料供应商提供的证明，证明使用了允许的燃料。</w:t>
      </w:r>
    </w:p>
    <w:p>
      <w:pPr>
        <w:widowControl w:val="on"/>
        <w:pBdr/>
        <w:spacing w:before="0" w:after="0" w:line="262" w:lineRule="auto"/>
        <w:ind w:left="0" w:right="0"/>
        <w:jc w:val="left"/>
        <w:textDirection w:val="lrTb"/>
      </w:pPr>
      <w:r>
        <w:rPr>
          <w:b/>
          <w:bCs/>
          <w:i/>
          <w:iCs/>
          <w:color w:val="00274C"/>
          <w:sz w:val="20"/>
          <w:szCs w:val="20"/>
          <w:u w:val="none"/>
        </w:rPr>
        <w:br/>
        <w:t xml:space="preserve">KDI 电控喷射 Tier 4 终极 - Stage IIIB - Stage IV - Stage V 认证发动机</w:t>
      </w:r>
    </w:p>
    <w:p>
      <w:pPr>
        <w:numPr>
          <w:ilvl w:val="0"/>
          <w:numId w:val="15446"/>
        </w:numPr>
        <w:spacing w:before="0" w:after="0" w:line="240" w:lineRule="auto"/>
        <w:jc w:val="left"/>
        <w:rPr>
          <w:color w:val="00274C"/>
          <w:sz w:val="20"/>
          <w:szCs w:val="20"/>
        </w:rPr>
      </w:pPr>
      <w:r>
        <w:rPr>
          <w:color w:val="00274C"/>
          <w:sz w:val="20"/>
          <w:szCs w:val="20"/>
          <w:u w:val="none"/>
        </w:rPr>
        <w:t xml:space="preserve">此类发动机专为符合 EN 590 和 ASTM D975 的燃料而设计，十六烷值至少为 45。由于此类发动机配备了尾气后处理系统，如柴油机氧化催化剂 (DOC)、柴油机微粒过滤器 (DPF)、选择性催化还原 (SCR)，因此只能使用无硫柴油燃料 (EN 590, DIN 5168, ASTM D975 Grade 2-D S15, ASTM D975 Grade 1-D S15)。否则，无法保证符合排放要求和耐用性。</w:t>
      </w:r>
      <w:r>
        <w:rPr>
          <w:color w:val="00274C"/>
          <w:sz w:val="20"/>
          <w:szCs w:val="20"/>
          <w:u w:val="none"/>
        </w:rPr>
        <w:br/>
        <w:t xml:space="preserve">润滑能力不足会导致严重的磨损问题，尤其是在共轨喷射系统中。在含硫量较低的燃料中，润滑能力过低问题更加突出（就此而言，含硫量低于 500 mg/kg 已经被视为很低)。根据 EN 590 和 ASTM D 975，低硫（低于 50 mg/kg）或无硫（低于 10 mg/kg 或低于15 mg/kg）柴油燃料中的适量添加剂可保证适当的润滑能力。必须通过添加剂来保证不符合这一标准的低硫和无硫柴油燃料的润滑能力。在高频往复装置 (HFRR) 测试 (EN ISO 12156-1) 中，充分润滑能力的参数为最大磨损点 460 微米。</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与电子控制注射 Tier 3 - Stage IIIA 排放当量认证发动机（EGR 发动机）</w:t>
      </w:r>
    </w:p>
    <w:p>
      <w:pPr>
        <w:numPr>
          <w:ilvl w:val="0"/>
          <w:numId w:val="15446"/>
        </w:numPr>
        <w:spacing w:before="0" w:after="0" w:line="240" w:lineRule="auto"/>
        <w:jc w:val="left"/>
        <w:rPr>
          <w:color w:val="00274C"/>
          <w:sz w:val="20"/>
          <w:szCs w:val="20"/>
        </w:rPr>
      </w:pPr>
      <w:r>
        <w:rPr>
          <w:color w:val="00274C"/>
          <w:sz w:val="20"/>
          <w:szCs w:val="20"/>
          <w:u w:val="none"/>
        </w:rPr>
        <w:t xml:space="preserve">此类发动机专为符合 EN 590 和 ASTM D975 的燃料而设计，十六烷值至少为 45。由于此类发动机没有配备尾气后处理系统，它们可以使用硫含量高达 500 mg/kg (ppm) 的柴油燃料运行。只有硫含量达到 350 mg/kg (ppm) 才能保证符合排放要求。</w:t>
      </w:r>
      <w:r>
        <w:rPr>
          <w:color w:val="00274C"/>
          <w:sz w:val="20"/>
          <w:szCs w:val="20"/>
          <w:u w:val="none"/>
        </w:rPr>
        <w:br/>
        <w:t xml:space="preserve">含硫量高于 50 mg/kg 的燃料需要较短的润滑油更换间隔。该值被设置为 250 小时。然而，当将总碱值 (TBN) 下降到 6.0 mgkoh/g 测试方法 ASTM D4739 时，必须更换发动机油。请勿使用低硫酸盐灰分 (SAPS ) 的发动机油。</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与电控喷射未验证的发动机（无 EGR 发动机）</w:t>
      </w:r>
    </w:p>
    <w:p>
      <w:pPr>
        <w:numPr>
          <w:ilvl w:val="0"/>
          <w:numId w:val="15446"/>
        </w:numPr>
        <w:spacing w:before="0" w:after="0" w:line="240" w:lineRule="auto"/>
        <w:jc w:val="left"/>
        <w:rPr>
          <w:color w:val="00274C"/>
          <w:sz w:val="20"/>
          <w:szCs w:val="20"/>
        </w:rPr>
      </w:pPr>
      <w:r>
        <w:rPr>
          <w:color w:val="00274C"/>
          <w:sz w:val="20"/>
          <w:szCs w:val="20"/>
          <w:u w:val="none"/>
        </w:rPr>
        <w:t xml:space="preserve">此类发动机专为符合 EN 590 和 ASTM D975 的燃料而设计，十六烷值至少为 45。由于此类发动机没有配备尾气后处理系统，它们可以使用硫含量高达 500 mg/kg (ppm) 的柴油燃料运行。只有硫含量达到 350 mg/kg (ppm) 才能保证符合排放要求。</w:t>
      </w:r>
      <w:r>
        <w:rPr>
          <w:color w:val="00274C"/>
          <w:sz w:val="20"/>
          <w:szCs w:val="20"/>
          <w:u w:val="none"/>
        </w:rPr>
        <w:br/>
        <w:t xml:space="preserve">含硫量高于 50 mg/kg 的燃料需要较短的润滑油更换间隔。该值被设置为 250 小时。然而，当将总碱值 (TBN) 下降到 6.0 mgkoh/g 测试方法 ASTM D4739 时，必须更换发动机油。请勿使用低硫酸盐灰分 (SAPS ) 的发动机油。</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低温燃料</w:t>
      </w:r>
    </w:p>
    <w:p>
      <w:pPr>
        <w:numPr>
          <w:ilvl w:val="0"/>
          <w:numId w:val="15446"/>
        </w:numPr>
        <w:spacing w:before="0" w:after="0" w:line="240" w:lineRule="auto"/>
        <w:jc w:val="left"/>
        <w:rPr>
          <w:color w:val="00274C"/>
          <w:sz w:val="20"/>
          <w:szCs w:val="20"/>
        </w:rPr>
      </w:pPr>
      <w:r>
        <w:rPr>
          <w:color w:val="00274C"/>
          <w:sz w:val="20"/>
          <w:szCs w:val="20"/>
          <w:u w:val="none"/>
        </w:rPr>
        <w:t xml:space="preserve">在低于 0 摄氏度的环境温度下操作发动机时，请使用通常可以从燃料经销商处获得并且与标签的规格一致的适当低温燃料。2.3.</w:t>
      </w:r>
    </w:p>
    <w:p>
      <w:pPr>
        <w:numPr>
          <w:ilvl w:val="0"/>
          <w:numId w:val="15446"/>
        </w:numPr>
        <w:spacing w:before="0" w:after="0" w:line="240" w:lineRule="auto"/>
        <w:jc w:val="left"/>
        <w:rPr>
          <w:color w:val="00274C"/>
          <w:sz w:val="20"/>
          <w:szCs w:val="20"/>
        </w:rPr>
      </w:pPr>
      <w:r>
        <w:rPr>
          <w:color w:val="00274C"/>
          <w:sz w:val="20"/>
          <w:szCs w:val="20"/>
          <w:u w:val="none"/>
        </w:rPr>
        <w:t xml:space="preserve">这些燃料在低温下可以减少柴油中石蜡的形成。</w:t>
      </w:r>
    </w:p>
    <w:p>
      <w:pPr>
        <w:numPr>
          <w:ilvl w:val="0"/>
          <w:numId w:val="15446"/>
        </w:numPr>
        <w:spacing w:before="0" w:after="0" w:line="240" w:lineRule="auto"/>
        <w:jc w:val="left"/>
        <w:rPr>
          <w:color w:val="00274C"/>
          <w:sz w:val="20"/>
          <w:szCs w:val="20"/>
        </w:rPr>
      </w:pPr>
      <w:r>
        <w:rPr>
          <w:color w:val="00274C"/>
          <w:sz w:val="20"/>
          <w:szCs w:val="20"/>
          <w:u w:val="none"/>
        </w:rPr>
        <w:t xml:space="preserve">如果在柴油中形成石蜡，将堵塞燃料过滤器，从而阻碍燃料流通。</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生物柴油燃料</w:t>
      </w:r>
    </w:p>
    <w:p>
      <w:pPr>
        <w:numPr>
          <w:ilvl w:val="0"/>
          <w:numId w:val="15446"/>
        </w:numPr>
        <w:spacing w:before="0" w:after="0" w:line="240" w:lineRule="auto"/>
        <w:jc w:val="left"/>
        <w:rPr>
          <w:color w:val="00274C"/>
          <w:sz w:val="20"/>
          <w:szCs w:val="20"/>
        </w:rPr>
      </w:pPr>
      <w:r>
        <w:rPr>
          <w:color w:val="00274C"/>
          <w:sz w:val="20"/>
          <w:szCs w:val="20"/>
          <w:u w:val="none"/>
        </w:rPr>
        <w:t xml:space="preserve">如果符合标签中所列的规格，那么含有 10% 甲酯或 B10 的燃料就适用于该发动机。2.3.</w:t>
      </w:r>
    </w:p>
    <w:p>
      <w:pPr>
        <w:numPr>
          <w:ilvl w:val="0"/>
          <w:numId w:val="15446"/>
        </w:numPr>
        <w:spacing w:before="0" w:after="0" w:line="240" w:lineRule="auto"/>
        <w:jc w:val="left"/>
        <w:rPr>
          <w:color w:val="00274C"/>
          <w:sz w:val="20"/>
          <w:szCs w:val="20"/>
        </w:rPr>
      </w:pPr>
      <w:r>
        <w:rPr>
          <w:color w:val="00274C"/>
          <w:sz w:val="20"/>
          <w:szCs w:val="20"/>
          <w:u w:val="none"/>
        </w:rPr>
        <w:t xml:space="preserve">请勿将植物油用作该发动机的生物燃料。</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生物柴油适应性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EN 14214 的生物柴油（最高只允许与柴油燃料的混合物达到 10% (V / 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合成燃料：GTL、CTL、BTL、HV</w:t>
      </w:r>
      <w:r>
        <w:rPr>
          <w:color w:val="00274C"/>
          <w:sz w:val="20"/>
          <w:szCs w:val="20"/>
          <w:u w:val="none"/>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u w:val="none"/>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非公路燃料</w:t>
      </w:r>
    </w:p>
    <w:p>
      <w:pPr>
        <w:widowControl w:val="on"/>
        <w:pBdr/>
        <w:spacing w:before="0" w:after="0" w:line="262" w:lineRule="auto"/>
        <w:ind w:left="0" w:right="0"/>
        <w:jc w:val="left"/>
        <w:textDirection w:val="lrTb"/>
      </w:pPr>
      <w:r>
        <w:rPr>
          <w:i/>
          <w:iCs/>
          <w:color w:val="00274C"/>
          <w:sz w:val="20"/>
          <w:szCs w:val="20"/>
          <w:u w:val="none"/>
        </w:rPr>
        <w:br/>
        <w:t xml:space="preserve">仅限 KDI 非满足电控喷射 Tier 3 - Stage IIIA 排放当量认证发动机（ EGR 发动机）和 KDI 非满足电控喷射未认证发动机（无 EGR 发动机）。</w:t>
      </w:r>
    </w:p>
    <w:p>
      <w:pPr>
        <w:widowControl w:val="on"/>
        <w:pBdr/>
        <w:spacing w:before="0" w:after="0" w:line="262" w:lineRule="auto"/>
        <w:ind w:left="0" w:right="0"/>
        <w:jc w:val="left"/>
        <w:textDirection w:val="lrTb"/>
      </w:pPr>
      <w:r>
        <w:rPr>
          <w:color w:val="00274C"/>
          <w:sz w:val="20"/>
          <w:szCs w:val="20"/>
          <w:u w:val="none"/>
        </w:rPr>
        <w:t xml:space="preserve">如果除燃料密度、十六烷值和含硫量外，均符合 EN 590 全部限值，那么可以使用其他非公路燃料。</w:t>
      </w:r>
      <w:r>
        <w:rPr>
          <w:color w:val="00274C"/>
          <w:sz w:val="20"/>
          <w:szCs w:val="20"/>
          <w:u w:val="none"/>
        </w:rPr>
        <w:br/>
        <w:t xml:space="preserve">以下限值适用于这些参数：</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燃料参数</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限值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十六烷值</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最低49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15°C 下的燃料密度</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含硫量</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或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最高 500</w:t>
            </w:r>
          </w:p>
        </w:tc>
      </w:tr>
    </w:tbl>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t xml:space="preserve">2.5.5</w:t>
      </w:r>
      <w:r>
        <w:rPr>
          <w:b/>
          <w:bCs/>
          <w:color w:val="00274C"/>
          <w:sz w:val="20"/>
          <w:szCs w:val="20"/>
          <w:u w:val="none"/>
        </w:rPr>
        <w:t xml:space="preserve">  喷气燃料</w:t>
      </w:r>
    </w:p>
    <w:p>
      <w:pPr>
        <w:widowControl w:val="on"/>
        <w:pBdr/>
        <w:spacing w:before="0" w:after="0" w:line="262" w:lineRule="auto"/>
        <w:ind w:left="0" w:right="0"/>
        <w:jc w:val="left"/>
        <w:textDirection w:val="lrTb"/>
      </w:pPr>
      <w:r>
        <w:rPr>
          <w:i/>
          <w:iCs/>
          <w:color w:val="00274C"/>
          <w:sz w:val="20"/>
          <w:szCs w:val="20"/>
          <w:u w:val="none"/>
        </w:rPr>
        <w:t xml:space="preserve">仅限 KDI 非满足电控喷射 Tier 3 - Stage IIIA 排放当量认证发动机。</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可使用以下喷气燃料，只需额外采用带有润滑剂量仪的燃料过滤器：</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燃料</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F-34/F-35（北约指定煤油）</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F-44（北约指定煤油）</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F-63（北约指定煤油，相当于带添加剂的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A（民航用煤油）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F-65（北约指定煤油，F-54 与 F-34/F-35 的 1:1 混合物）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A1（民航用煤油）</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排放相关安装说明</w:t>
      </w:r>
      <w:r>
        <w:rPr>
          <w:color w:val="00274C"/>
          <w:sz w:val="20"/>
          <w:szCs w:val="20"/>
          <w:u w:val="none"/>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原始设备制造商 (OEM) 必须在燃料入口附近张贴带有下列说明的独立标签：“仅限超低硫燃料”。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冷却剂建议</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KDI 发动机系列的所有型号均可使用下列乙二醇基发动机冷却剂: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446"/>
              </w:numPr>
              <w:spacing w:before="0" w:after="0" w:line="262" w:lineRule="auto"/>
              <w:jc w:val="left"/>
              <w:rPr>
                <w:color w:val="00274C"/>
                <w:sz w:val="20"/>
                <w:szCs w:val="20"/>
              </w:rPr>
            </w:pPr>
            <w:r>
              <w:rPr>
                <w:color w:val="00274C"/>
                <w:position w:val="-2"/>
                <w:sz w:val="20"/>
                <w:szCs w:val="20"/>
                <w:u w:val="none"/>
              </w:rPr>
              <w:t xml:space="preserve">OAT（有机酸技术）低硅酸盐: </w:t>
            </w:r>
            <w:r>
              <w:rPr>
                <w:b/>
                <w:bCs/>
                <w:color w:val="00274C"/>
                <w:position w:val="-2"/>
                <w:sz w:val="20"/>
                <w:szCs w:val="20"/>
                <w:u w:val="none"/>
              </w:rPr>
              <w:t xml:space="preserve">ASTM D-3306 D-6210</w:t>
            </w:r>
          </w:p>
          <w:p>
            <w:pPr>
              <w:numPr>
                <w:ilvl w:val="0"/>
                <w:numId w:val="15446"/>
              </w:numPr>
              <w:spacing w:before="0" w:after="0" w:line="262" w:lineRule="auto"/>
              <w:jc w:val="left"/>
              <w:rPr>
                <w:color w:val="00274C"/>
                <w:sz w:val="20"/>
                <w:szCs w:val="20"/>
              </w:rPr>
            </w:pPr>
            <w:r>
              <w:rPr>
                <w:color w:val="00274C"/>
                <w:position w:val="-2"/>
                <w:sz w:val="20"/>
                <w:szCs w:val="20"/>
                <w:u w:val="none"/>
              </w:rPr>
              <w:t xml:space="preserve">HOAT（混合有机酸技术）低硅酸盐: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6135508" name="name858861b86874edbd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2761b86874edbd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重要信息</w:t>
            </w:r>
          </w:p>
          <w:p>
            <w:pPr>
              <w:numPr>
                <w:ilvl w:val="0"/>
                <w:numId w:val="15446"/>
              </w:numPr>
              <w:spacing w:before="0" w:after="0" w:line="262" w:lineRule="auto"/>
              <w:jc w:val="left"/>
              <w:rPr>
                <w:color w:val="00274C"/>
                <w:sz w:val="20"/>
                <w:szCs w:val="20"/>
              </w:rPr>
            </w:pPr>
            <w:r>
              <w:rPr>
                <w:color w:val="00274C"/>
                <w:position w:val="-2"/>
                <w:sz w:val="20"/>
                <w:szCs w:val="20"/>
                <w:u w:val="none"/>
              </w:rPr>
              <w:t xml:space="preserve">请勿混合乙二醇和丙二醇基冷却剂。请勿混合 OAT 和 HOAT 基冷却剂。如果被含有亚硝酸盐的冷却剂污染，OAT 的使用寿命会大大降低。</w:t>
            </w:r>
          </w:p>
          <w:p>
            <w:pPr>
              <w:numPr>
                <w:ilvl w:val="0"/>
                <w:numId w:val="15446"/>
              </w:numPr>
              <w:spacing w:before="0" w:after="0" w:line="262" w:lineRule="auto"/>
              <w:jc w:val="left"/>
              <w:rPr>
                <w:color w:val="00274C"/>
                <w:sz w:val="20"/>
                <w:szCs w:val="20"/>
              </w:rPr>
            </w:pPr>
            <w:r>
              <w:rPr>
                <w:color w:val="00274C"/>
                <w:position w:val="-2"/>
                <w:sz w:val="20"/>
                <w:szCs w:val="20"/>
                <w:u w:val="none"/>
              </w:rPr>
              <w:t xml:space="preserve">切勿使用汽车型冷却剂。此类冷却剂不含可保护重型柴油发动机的正确添加剂。</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u w:val="none"/>
              </w:rPr>
              <w:br/>
              <w:t xml:space="preserve">HOAT 并不是完全免维护的，建议在第一次维护期间添加 SCA（补充冷却剂添加剂）</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蓄电池规格</w:t>
      </w:r>
    </w:p>
    <w:p>
      <w:pPr>
        <w:widowControl w:val="on"/>
        <w:pBdr/>
        <w:spacing w:before="0" w:after="0" w:line="262" w:lineRule="auto"/>
        <w:ind w:left="0" w:right="0"/>
        <w:jc w:val="left"/>
        <w:textDirection w:val="lrTb"/>
      </w:pPr>
      <w:r>
        <w:rPr>
          <w:b/>
          <w:bCs/>
          <w:color w:val="00274C"/>
          <w:sz w:val="20"/>
          <w:szCs w:val="20"/>
          <w:u w:val="none"/>
        </w:rPr>
        <w:t xml:space="preserve">科勒公司不提供蓄电池</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推荐使用蓄电池</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蓄电池型号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120 Ah - 1000 CCA/SAE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控制柜</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在 2.8 表中显示控制柜的组件。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带钥匙控制柜和电机启动开关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数据咨询或电机错误显示器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顶部菜单浏览的箭头按钮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下部菜单浏览的箭头按钮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数据选择或输入按钮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电机运行指示灯状态（绿色= 没有检测到问题）</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41678930" name="name296461b8687514e0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48361b8687514df8" cstate="print"/>
                          <a:stretch>
                            <a:fillRect/>
                          </a:stretch>
                        </pic:blipFill>
                        <pic:spPr>
                          <a:xfrm>
                            <a:off x="0" y="0"/>
                            <a:ext cx="2196000" cy="1296000"/>
                          </a:xfrm>
                          <a:prstGeom prst="rect">
                            <a:avLst/>
                          </a:prstGeom>
                          <a:ln w="0">
                            <a:noFill/>
                          </a:ln>
                        </pic:spPr>
                      </pic:pic>
                    </a:graphicData>
                  </a:graphic>
                </wp:inline>
              </w:drawing>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备注:   在 F 指示灯亮起红色的情况下, 咨询 KOHLER 授权的工作车间以便了解故障的类型  由于一些故障激活电机的自动关闭。</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通过按下C 或 D按钮 在2.9 表中显示可以在显示器B 上的数据。</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备注:     在 2.9 表中描述的数据可能是不同的，在这种情况下咨询机器的手册。</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运行的小时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距离维护剩余小时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距离维护剩余小时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电机油压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冷却液温度</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使用的扭矩 @每分钟转数 (使用的% )</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447">
    <w:multiLevelType w:val="hybridMultilevel"/>
    <w:lvl w:ilvl="0" w:tplc="74070633">
      <w:start w:val="1"/>
      <w:numFmt w:val="decimal"/>
      <w:lvlText w:val="%1."/>
      <w:lvlJc w:val="left"/>
      <w:pPr>
        <w:ind w:left="720" w:hanging="360"/>
      </w:pPr>
    </w:lvl>
    <w:lvl w:ilvl="1" w:tplc="74070633" w:tentative="1">
      <w:start w:val="1"/>
      <w:numFmt w:val="lowerLetter"/>
      <w:lvlText w:val="%2."/>
      <w:lvlJc w:val="left"/>
      <w:pPr>
        <w:ind w:left="1440" w:hanging="360"/>
      </w:pPr>
    </w:lvl>
    <w:lvl w:ilvl="2" w:tplc="74070633" w:tentative="1">
      <w:start w:val="1"/>
      <w:numFmt w:val="lowerRoman"/>
      <w:lvlText w:val="%3."/>
      <w:lvlJc w:val="right"/>
      <w:pPr>
        <w:ind w:left="2160" w:hanging="180"/>
      </w:pPr>
    </w:lvl>
    <w:lvl w:ilvl="3" w:tplc="74070633" w:tentative="1">
      <w:start w:val="1"/>
      <w:numFmt w:val="decimal"/>
      <w:lvlText w:val="%4."/>
      <w:lvlJc w:val="left"/>
      <w:pPr>
        <w:ind w:left="2880" w:hanging="360"/>
      </w:pPr>
    </w:lvl>
    <w:lvl w:ilvl="4" w:tplc="74070633" w:tentative="1">
      <w:start w:val="1"/>
      <w:numFmt w:val="lowerLetter"/>
      <w:lvlText w:val="%5."/>
      <w:lvlJc w:val="left"/>
      <w:pPr>
        <w:ind w:left="3600" w:hanging="360"/>
      </w:pPr>
    </w:lvl>
    <w:lvl w:ilvl="5" w:tplc="74070633" w:tentative="1">
      <w:start w:val="1"/>
      <w:numFmt w:val="lowerRoman"/>
      <w:lvlText w:val="%6."/>
      <w:lvlJc w:val="right"/>
      <w:pPr>
        <w:ind w:left="4320" w:hanging="180"/>
      </w:pPr>
    </w:lvl>
    <w:lvl w:ilvl="6" w:tplc="74070633" w:tentative="1">
      <w:start w:val="1"/>
      <w:numFmt w:val="decimal"/>
      <w:lvlText w:val="%7."/>
      <w:lvlJc w:val="left"/>
      <w:pPr>
        <w:ind w:left="5040" w:hanging="360"/>
      </w:pPr>
    </w:lvl>
    <w:lvl w:ilvl="7" w:tplc="74070633" w:tentative="1">
      <w:start w:val="1"/>
      <w:numFmt w:val="lowerLetter"/>
      <w:lvlText w:val="%8."/>
      <w:lvlJc w:val="left"/>
      <w:pPr>
        <w:ind w:left="5760" w:hanging="360"/>
      </w:pPr>
    </w:lvl>
    <w:lvl w:ilvl="8" w:tplc="74070633" w:tentative="1">
      <w:start w:val="1"/>
      <w:numFmt w:val="lowerRoman"/>
      <w:lvlText w:val="%9."/>
      <w:lvlJc w:val="right"/>
      <w:pPr>
        <w:ind w:left="6480" w:hanging="180"/>
      </w:pPr>
    </w:lvl>
  </w:abstractNum>
  <w:abstractNum w:abstractNumId="15446">
    <w:multiLevelType w:val="hybridMultilevel"/>
    <w:lvl w:ilvl="0" w:tplc="385949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446">
    <w:abstractNumId w:val="15446"/>
  </w:num>
  <w:num w:numId="15447">
    <w:abstractNumId w:val="154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9406038" Type="http://schemas.openxmlformats.org/officeDocument/2006/relationships/comments" Target="comments.xml"/><Relationship Id="rId428974969" Type="http://schemas.microsoft.com/office/2011/relationships/commentsExtended" Target="commentsExtended.xml"/><Relationship Id="rId57243066" Type="http://schemas.openxmlformats.org/officeDocument/2006/relationships/image" Target="media/imgrId57243066.jpg"/><Relationship Id="rId474561b86874238dd" Type="http://schemas.openxmlformats.org/officeDocument/2006/relationships/image" Target="media/imgrId474561b86874238dd.jpg"/><Relationship Id="rId657961b868747211a" Type="http://schemas.openxmlformats.org/officeDocument/2006/relationships/image" Target="media/imgrId657961b868747211a.jpg"/><Relationship Id="rId514361b868748d42c" Type="http://schemas.openxmlformats.org/officeDocument/2006/relationships/image" Target="media/imgrId514361b868748d42c.jpg"/><Relationship Id="rId962661b868749cc44" Type="http://schemas.openxmlformats.org/officeDocument/2006/relationships/image" Target="media/imgrId962661b868749cc44.jpg"/><Relationship Id="rId431461b86874ac3f0" Type="http://schemas.openxmlformats.org/officeDocument/2006/relationships/image" Target="media/imgrId431461b86874ac3f0.jpg"/><Relationship Id="rId303661b86874bfda0" Type="http://schemas.openxmlformats.org/officeDocument/2006/relationships/image" Target="media/imgrId303661b86874bfda0.jpg"/><Relationship Id="rId186061b86874d27b5" Type="http://schemas.openxmlformats.org/officeDocument/2006/relationships/image" Target="media/imgrId186061b86874d27b5.jpg"/><Relationship Id="rId422761b86874edbd6" Type="http://schemas.openxmlformats.org/officeDocument/2006/relationships/image" Target="media/imgrId422761b86874edbd6.png"/><Relationship Id="rId648361b8687514df8" Type="http://schemas.openxmlformats.org/officeDocument/2006/relationships/image" Target="media/imgrId648361b8687514df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243066" Type="http://schemas.openxmlformats.org/officeDocument/2006/relationships/image" Target="media/imgrId5724306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243066" Type="http://schemas.openxmlformats.org/officeDocument/2006/relationships/image" Target="media/imgrId5724306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243066" Type="http://schemas.openxmlformats.org/officeDocument/2006/relationships/image" Target="media/imgrId5724306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243066" Type="http://schemas.openxmlformats.org/officeDocument/2006/relationships/image" Target="media/imgrId5724306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243066" Type="http://schemas.openxmlformats.org/officeDocument/2006/relationships/image" Target="media/imgrId5724306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243066" Type="http://schemas.openxmlformats.org/officeDocument/2006/relationships/image" Target="media/imgrId5724306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